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C5F5E90" w14:textId="77777777" w:rsidR="00A73187" w:rsidRDefault="00A15C85">
      <w:pPr>
        <w:pBdr>
          <w:top w:val="nil"/>
          <w:left w:val="nil"/>
          <w:bottom w:val="nil"/>
          <w:right w:val="nil"/>
          <w:between w:val="nil"/>
        </w:pBdr>
        <w:shd w:val="clear" w:color="auto" w:fill="403152"/>
        <w:spacing w:after="0" w:line="240" w:lineRule="auto"/>
        <w:jc w:val="center"/>
        <w:rPr>
          <w:rFonts w:ascii="Cambria" w:eastAsia="Cambria" w:hAnsi="Cambria" w:cs="Cambria"/>
          <w:b/>
          <w:color w:val="FFFFFF"/>
          <w:sz w:val="40"/>
          <w:szCs w:val="40"/>
        </w:rPr>
      </w:pPr>
      <w:r>
        <w:rPr>
          <w:rFonts w:ascii="Cambria" w:eastAsia="Cambria" w:hAnsi="Cambria" w:cs="Cambria"/>
          <w:b/>
          <w:color w:val="FFFFFF"/>
          <w:sz w:val="40"/>
          <w:szCs w:val="40"/>
        </w:rPr>
        <w:t xml:space="preserve"> Recommended Vaccines: Are You Up to Date?</w:t>
      </w:r>
    </w:p>
    <w:p w14:paraId="31BB90A2" w14:textId="77777777" w:rsidR="00A73187" w:rsidRDefault="00A73187">
      <w:pPr>
        <w:pStyle w:val="Title"/>
        <w:rPr>
          <w:b/>
          <w:sz w:val="28"/>
          <w:szCs w:val="28"/>
        </w:rPr>
      </w:pPr>
    </w:p>
    <w:p w14:paraId="03A853EC" w14:textId="77777777" w:rsidR="00A73187" w:rsidRDefault="00A15C85">
      <w:pPr>
        <w:pStyle w:val="Title"/>
        <w:rPr>
          <w:b/>
          <w:sz w:val="28"/>
          <w:szCs w:val="28"/>
        </w:rPr>
      </w:pPr>
      <w:r>
        <w:rPr>
          <w:b/>
          <w:sz w:val="28"/>
          <w:szCs w:val="28"/>
        </w:rPr>
        <w:t>Routine Immunizations - evidenced-based national recommendations¹</w:t>
      </w:r>
    </w:p>
    <w:tbl>
      <w:tblPr>
        <w:tblStyle w:val="a"/>
        <w:tblW w:w="5000" w:type="pct"/>
        <w:tblBorders>
          <w:top w:val="single" w:sz="4" w:space="0" w:color="C2D69B"/>
          <w:left w:val="single" w:sz="4" w:space="0" w:color="BFBFBF"/>
          <w:bottom w:val="single" w:sz="4" w:space="0" w:color="C2D69B"/>
          <w:right w:val="single" w:sz="4" w:space="0" w:color="BFBFBF"/>
          <w:insideH w:val="single" w:sz="4" w:space="0" w:color="C2D69B"/>
          <w:insideV w:val="single" w:sz="4" w:space="0" w:color="BFBFBF"/>
        </w:tblBorders>
        <w:tblLook w:val="0400" w:firstRow="0" w:lastRow="0" w:firstColumn="0" w:lastColumn="0" w:noHBand="0" w:noVBand="1"/>
      </w:tblPr>
      <w:tblGrid>
        <w:gridCol w:w="5082"/>
        <w:gridCol w:w="5086"/>
        <w:gridCol w:w="5086"/>
      </w:tblGrid>
      <w:tr w:rsidR="00DC0FBA" w14:paraId="778F5860" w14:textId="3429F377" w:rsidTr="00DC0FBA">
        <w:trPr>
          <w:trHeight w:val="758"/>
        </w:trPr>
        <w:tc>
          <w:tcPr>
            <w:tcW w:w="1666" w:type="pct"/>
            <w:shd w:val="clear" w:color="auto" w:fill="E5DFEC"/>
          </w:tcPr>
          <w:p w14:paraId="6BA839A2" w14:textId="77777777" w:rsidR="00DC0FBA" w:rsidRDefault="00DC0FBA" w:rsidP="00DC0FBA">
            <w:pPr>
              <w:pBdr>
                <w:top w:val="nil"/>
                <w:left w:val="nil"/>
                <w:bottom w:val="nil"/>
                <w:right w:val="nil"/>
                <w:between w:val="nil"/>
              </w:pBdr>
              <w:rPr>
                <w:rFonts w:ascii="Helvetica Neue" w:eastAsia="Helvetica Neue" w:hAnsi="Helvetica Neue" w:cs="Helvetica Neue"/>
                <w:color w:val="000000"/>
                <w:sz w:val="24"/>
                <w:szCs w:val="24"/>
              </w:rPr>
            </w:pPr>
            <w:r>
              <w:rPr>
                <w:rFonts w:ascii="Helvetica Neue" w:eastAsia="Helvetica Neue" w:hAnsi="Helvetica Neue" w:cs="Helvetica Neue"/>
                <w:b/>
                <w:color w:val="000000"/>
                <w:sz w:val="24"/>
                <w:szCs w:val="24"/>
              </w:rPr>
              <w:t>Tetanus, Diphtheria:  Td</w:t>
            </w:r>
          </w:p>
          <w:p w14:paraId="2FB7DED5" w14:textId="77777777" w:rsidR="00DC0FBA" w:rsidRDefault="00DC0FBA" w:rsidP="00DC0FBA">
            <w:pPr>
              <w:pBdr>
                <w:top w:val="nil"/>
                <w:left w:val="nil"/>
                <w:bottom w:val="nil"/>
                <w:right w:val="nil"/>
                <w:between w:val="nil"/>
              </w:pBdr>
              <w:rPr>
                <w:rFonts w:ascii="Helvetica Neue" w:eastAsia="Helvetica Neue" w:hAnsi="Helvetica Neue" w:cs="Helvetica Neue"/>
                <w:color w:val="000000"/>
                <w:sz w:val="24"/>
                <w:szCs w:val="24"/>
              </w:rPr>
            </w:pPr>
            <w:r>
              <w:rPr>
                <w:rFonts w:ascii="Helvetica Neue" w:eastAsia="Helvetica Neue" w:hAnsi="Helvetica Neue" w:cs="Helvetica Neue"/>
                <w:b/>
                <w:color w:val="000000"/>
                <w:sz w:val="24"/>
                <w:szCs w:val="24"/>
              </w:rPr>
              <w:t>(or Tetanus, Diphtheria, Pertussis:  Tdap)</w:t>
            </w:r>
          </w:p>
        </w:tc>
        <w:tc>
          <w:tcPr>
            <w:tcW w:w="1667" w:type="pct"/>
            <w:shd w:val="clear" w:color="auto" w:fill="E5DFEC"/>
          </w:tcPr>
          <w:p w14:paraId="3BEC6945" w14:textId="55F50657" w:rsidR="00DC0FBA" w:rsidRDefault="00DC0FBA" w:rsidP="00DC0FBA">
            <w:pPr>
              <w:pBdr>
                <w:top w:val="nil"/>
                <w:left w:val="nil"/>
                <w:bottom w:val="nil"/>
                <w:right w:val="nil"/>
                <w:between w:val="nil"/>
              </w:pBdr>
              <w:rPr>
                <w:rFonts w:ascii="Helvetica Neue" w:eastAsia="Helvetica Neue" w:hAnsi="Helvetica Neue" w:cs="Helvetica Neue"/>
                <w:color w:val="000000"/>
                <w:sz w:val="24"/>
                <w:szCs w:val="24"/>
              </w:rPr>
            </w:pPr>
            <w:r>
              <w:rPr>
                <w:rFonts w:ascii="Helvetica Neue" w:eastAsia="Helvetica Neue" w:hAnsi="Helvetica Neue" w:cs="Helvetica Neue"/>
                <w:color w:val="000000"/>
                <w:sz w:val="24"/>
                <w:szCs w:val="24"/>
              </w:rPr>
              <w:t xml:space="preserve">Primary series plus booster dose within last ten years, sooner if no recent Pertussis booster dose. </w:t>
            </w:r>
          </w:p>
        </w:tc>
        <w:tc>
          <w:tcPr>
            <w:tcW w:w="1667" w:type="pct"/>
            <w:shd w:val="clear" w:color="auto" w:fill="E5DFEC"/>
          </w:tcPr>
          <w:p w14:paraId="486DFCAA" w14:textId="5B1F47F0" w:rsidR="00DC0FBA" w:rsidRDefault="00DC0FBA" w:rsidP="00DC0FBA">
            <w:pPr>
              <w:pBdr>
                <w:top w:val="nil"/>
                <w:left w:val="nil"/>
                <w:bottom w:val="nil"/>
                <w:right w:val="nil"/>
                <w:between w:val="nil"/>
              </w:pBdr>
              <w:rPr>
                <w:rFonts w:ascii="Helvetica Neue" w:eastAsia="Helvetica Neue" w:hAnsi="Helvetica Neue" w:cs="Helvetica Neue"/>
                <w:color w:val="000000"/>
                <w:sz w:val="24"/>
                <w:szCs w:val="24"/>
              </w:rPr>
            </w:pPr>
            <w:r>
              <w:rPr>
                <w:rFonts w:ascii="Helvetica Neue" w:eastAsia="Helvetica Neue" w:hAnsi="Helvetica Neue" w:cs="Helvetica Neue"/>
                <w:color w:val="000000"/>
                <w:sz w:val="24"/>
                <w:szCs w:val="24"/>
              </w:rPr>
              <w:t xml:space="preserve">If you are a medical or physician assistant student, a Tdap must have been given within the past 10 years. </w:t>
            </w:r>
          </w:p>
        </w:tc>
      </w:tr>
      <w:tr w:rsidR="00DC0FBA" w14:paraId="42285FB2" w14:textId="3E82D6D5" w:rsidTr="00DC0FBA">
        <w:trPr>
          <w:trHeight w:val="292"/>
        </w:trPr>
        <w:tc>
          <w:tcPr>
            <w:tcW w:w="1666" w:type="pct"/>
            <w:shd w:val="clear" w:color="auto" w:fill="E5DFEC"/>
          </w:tcPr>
          <w:p w14:paraId="513E52AF" w14:textId="4BC665C5" w:rsidR="00DC0FBA" w:rsidRDefault="00DC0FBA" w:rsidP="00DC0FBA">
            <w:pPr>
              <w:pBdr>
                <w:top w:val="nil"/>
                <w:left w:val="nil"/>
                <w:bottom w:val="nil"/>
                <w:right w:val="nil"/>
                <w:between w:val="nil"/>
              </w:pBdr>
              <w:rPr>
                <w:rFonts w:ascii="Helvetica Neue" w:eastAsia="Helvetica Neue" w:hAnsi="Helvetica Neue" w:cs="Helvetica Neue"/>
                <w:color w:val="000000"/>
                <w:sz w:val="24"/>
                <w:szCs w:val="24"/>
              </w:rPr>
            </w:pPr>
            <w:r>
              <w:rPr>
                <w:rFonts w:ascii="Helvetica Neue" w:eastAsia="Helvetica Neue" w:hAnsi="Helvetica Neue" w:cs="Helvetica Neue"/>
                <w:b/>
                <w:color w:val="000000"/>
                <w:sz w:val="24"/>
                <w:szCs w:val="24"/>
              </w:rPr>
              <w:t>Hepatitis A Series</w:t>
            </w:r>
          </w:p>
        </w:tc>
        <w:tc>
          <w:tcPr>
            <w:tcW w:w="1667" w:type="pct"/>
            <w:shd w:val="clear" w:color="auto" w:fill="E5DFEC"/>
          </w:tcPr>
          <w:p w14:paraId="5EF6EE7F" w14:textId="5A7C0BB0" w:rsidR="00DC0FBA" w:rsidRDefault="00DC0FBA" w:rsidP="00DC0FBA">
            <w:pPr>
              <w:pBdr>
                <w:top w:val="nil"/>
                <w:left w:val="nil"/>
                <w:bottom w:val="nil"/>
                <w:right w:val="nil"/>
                <w:between w:val="nil"/>
              </w:pBdr>
              <w:rPr>
                <w:rFonts w:ascii="Helvetica Neue" w:eastAsia="Helvetica Neue" w:hAnsi="Helvetica Neue" w:cs="Helvetica Neue"/>
                <w:color w:val="000000"/>
                <w:sz w:val="24"/>
                <w:szCs w:val="24"/>
              </w:rPr>
            </w:pPr>
            <w:r>
              <w:rPr>
                <w:rFonts w:ascii="Helvetica Neue" w:eastAsia="Helvetica Neue" w:hAnsi="Helvetica Neue" w:cs="Helvetica Neue"/>
                <w:sz w:val="24"/>
                <w:szCs w:val="24"/>
              </w:rPr>
              <w:t>2</w:t>
            </w:r>
            <w:r>
              <w:rPr>
                <w:rFonts w:ascii="Helvetica Neue" w:eastAsia="Helvetica Neue" w:hAnsi="Helvetica Neue" w:cs="Helvetica Neue"/>
                <w:color w:val="000000"/>
                <w:sz w:val="24"/>
                <w:szCs w:val="24"/>
              </w:rPr>
              <w:t xml:space="preserve"> shots at least six months apart through age 18, for travelers and other adults 19 and up</w:t>
            </w:r>
          </w:p>
        </w:tc>
        <w:tc>
          <w:tcPr>
            <w:tcW w:w="1667" w:type="pct"/>
            <w:shd w:val="clear" w:color="auto" w:fill="E5DFEC"/>
          </w:tcPr>
          <w:p w14:paraId="3C787163" w14:textId="7F8E9DF9" w:rsidR="00DC0FBA" w:rsidRDefault="00C91C95" w:rsidP="00DC0FBA">
            <w:pPr>
              <w:pBdr>
                <w:top w:val="nil"/>
                <w:left w:val="nil"/>
                <w:bottom w:val="nil"/>
                <w:right w:val="nil"/>
                <w:between w:val="nil"/>
              </w:pBdr>
              <w:rPr>
                <w:rFonts w:ascii="Helvetica Neue" w:eastAsia="Helvetica Neue" w:hAnsi="Helvetica Neue" w:cs="Helvetica Neue"/>
                <w:sz w:val="24"/>
                <w:szCs w:val="24"/>
              </w:rPr>
            </w:pPr>
            <w:r>
              <w:rPr>
                <w:rFonts w:ascii="Helvetica Neue" w:eastAsia="Helvetica Neue" w:hAnsi="Helvetica Neue" w:cs="Helvetica Neue"/>
                <w:sz w:val="24"/>
                <w:szCs w:val="24"/>
              </w:rPr>
              <w:t xml:space="preserve">Highly recommended for students who will be traveling. </w:t>
            </w:r>
          </w:p>
        </w:tc>
      </w:tr>
      <w:tr w:rsidR="00DC0FBA" w14:paraId="3474885E" w14:textId="73A2ABCB" w:rsidTr="00DC0FBA">
        <w:trPr>
          <w:trHeight w:val="292"/>
        </w:trPr>
        <w:tc>
          <w:tcPr>
            <w:tcW w:w="1666" w:type="pct"/>
            <w:shd w:val="clear" w:color="auto" w:fill="E5DFEC"/>
          </w:tcPr>
          <w:p w14:paraId="21EBF62C" w14:textId="2262329E" w:rsidR="00DC0FBA" w:rsidRDefault="00DC0FBA" w:rsidP="00DC0FBA">
            <w:pPr>
              <w:pBdr>
                <w:top w:val="nil"/>
                <w:left w:val="nil"/>
                <w:bottom w:val="nil"/>
                <w:right w:val="nil"/>
                <w:between w:val="nil"/>
              </w:pBdr>
              <w:rPr>
                <w:rFonts w:ascii="Helvetica Neue" w:eastAsia="Helvetica Neue" w:hAnsi="Helvetica Neue" w:cs="Helvetica Neue"/>
                <w:color w:val="000000"/>
                <w:sz w:val="24"/>
                <w:szCs w:val="24"/>
              </w:rPr>
            </w:pPr>
            <w:r>
              <w:rPr>
                <w:rFonts w:ascii="Helvetica Neue" w:eastAsia="Helvetica Neue" w:hAnsi="Helvetica Neue" w:cs="Helvetica Neue"/>
                <w:b/>
                <w:color w:val="000000"/>
                <w:sz w:val="24"/>
                <w:szCs w:val="24"/>
              </w:rPr>
              <w:t>Hepatitis B Series</w:t>
            </w:r>
          </w:p>
        </w:tc>
        <w:tc>
          <w:tcPr>
            <w:tcW w:w="1667" w:type="pct"/>
            <w:shd w:val="clear" w:color="auto" w:fill="E5DFEC"/>
          </w:tcPr>
          <w:p w14:paraId="744FCCE6" w14:textId="78C26DA3" w:rsidR="00DC0FBA" w:rsidRDefault="00DC0FBA" w:rsidP="00DC0FBA">
            <w:pPr>
              <w:pBdr>
                <w:top w:val="nil"/>
                <w:left w:val="nil"/>
                <w:bottom w:val="nil"/>
                <w:right w:val="nil"/>
                <w:between w:val="nil"/>
              </w:pBdr>
              <w:rPr>
                <w:rFonts w:ascii="Helvetica Neue" w:eastAsia="Helvetica Neue" w:hAnsi="Helvetica Neue" w:cs="Helvetica Neue"/>
                <w:color w:val="000000"/>
                <w:sz w:val="24"/>
                <w:szCs w:val="24"/>
              </w:rPr>
            </w:pPr>
            <w:r>
              <w:rPr>
                <w:rFonts w:ascii="Helvetica Neue" w:eastAsia="Helvetica Neue" w:hAnsi="Helvetica Neue" w:cs="Helvetica Neue"/>
                <w:sz w:val="24"/>
                <w:szCs w:val="24"/>
              </w:rPr>
              <w:t xml:space="preserve">2 or 3 </w:t>
            </w:r>
            <w:r>
              <w:rPr>
                <w:rFonts w:ascii="Helvetica Neue" w:eastAsia="Helvetica Neue" w:hAnsi="Helvetica Neue" w:cs="Helvetica Neue"/>
                <w:color w:val="000000"/>
                <w:sz w:val="24"/>
                <w:szCs w:val="24"/>
              </w:rPr>
              <w:t xml:space="preserve">shot options available (if high risk may need additional shots). </w:t>
            </w:r>
          </w:p>
        </w:tc>
        <w:tc>
          <w:tcPr>
            <w:tcW w:w="1667" w:type="pct"/>
            <w:shd w:val="clear" w:color="auto" w:fill="E5DFEC"/>
          </w:tcPr>
          <w:p w14:paraId="10E2DDA6" w14:textId="77777777" w:rsidR="00DC0FBA" w:rsidRDefault="00DC0FBA" w:rsidP="00DC0FBA">
            <w:pPr>
              <w:pBdr>
                <w:top w:val="nil"/>
                <w:left w:val="nil"/>
                <w:bottom w:val="nil"/>
                <w:right w:val="nil"/>
                <w:between w:val="nil"/>
              </w:pBdr>
              <w:rPr>
                <w:rFonts w:ascii="Helvetica Neue" w:eastAsia="Helvetica Neue" w:hAnsi="Helvetica Neue" w:cs="Helvetica Neue"/>
                <w:color w:val="000000"/>
                <w:sz w:val="24"/>
                <w:szCs w:val="24"/>
              </w:rPr>
            </w:pPr>
            <w:r>
              <w:rPr>
                <w:rFonts w:ascii="Helvetica Neue" w:eastAsia="Helvetica Neue" w:hAnsi="Helvetica Neue" w:cs="Helvetica Neue"/>
                <w:color w:val="000000"/>
                <w:sz w:val="24"/>
                <w:szCs w:val="24"/>
              </w:rPr>
              <w:t>If you are a medical or physician assistant student, Stanford requires written documentation of one of the following:</w:t>
            </w:r>
          </w:p>
          <w:p w14:paraId="42A579DD" w14:textId="06BD5486" w:rsidR="00DC0FBA" w:rsidRDefault="00DC0FBA" w:rsidP="00DC0FBA">
            <w:pPr>
              <w:pBdr>
                <w:top w:val="nil"/>
                <w:left w:val="nil"/>
                <w:bottom w:val="nil"/>
                <w:right w:val="nil"/>
                <w:between w:val="nil"/>
              </w:pBdr>
              <w:rPr>
                <w:rFonts w:ascii="Helvetica Neue" w:eastAsia="Helvetica Neue" w:hAnsi="Helvetica Neue" w:cs="Helvetica Neue"/>
                <w:sz w:val="24"/>
                <w:szCs w:val="24"/>
              </w:rPr>
            </w:pPr>
            <w:r>
              <w:rPr>
                <w:rFonts w:ascii="Helvetica Neue" w:eastAsia="Helvetica Neue" w:hAnsi="Helvetica Neue" w:cs="Helvetica Neue"/>
                <w:sz w:val="24"/>
                <w:szCs w:val="24"/>
              </w:rPr>
              <w:t>Proof of a two- or three</w:t>
            </w:r>
            <w:r w:rsidR="00C91C95">
              <w:rPr>
                <w:rFonts w:ascii="Helvetica Neue" w:eastAsia="Helvetica Neue" w:hAnsi="Helvetica Neue" w:cs="Helvetica Neue"/>
                <w:sz w:val="24"/>
                <w:szCs w:val="24"/>
              </w:rPr>
              <w:t>-</w:t>
            </w:r>
            <w:r>
              <w:rPr>
                <w:rFonts w:ascii="Helvetica Neue" w:eastAsia="Helvetica Neue" w:hAnsi="Helvetica Neue" w:cs="Helvetica Neue"/>
                <w:sz w:val="24"/>
                <w:szCs w:val="24"/>
              </w:rPr>
              <w:t>dose Hep B series, or laboratory evidence of antibodies</w:t>
            </w:r>
          </w:p>
        </w:tc>
      </w:tr>
      <w:tr w:rsidR="00DC0FBA" w14:paraId="49C0799C" w14:textId="6140FB82" w:rsidTr="00DC0FBA">
        <w:trPr>
          <w:trHeight w:val="292"/>
        </w:trPr>
        <w:tc>
          <w:tcPr>
            <w:tcW w:w="1666" w:type="pct"/>
            <w:shd w:val="clear" w:color="auto" w:fill="E5DFEC"/>
          </w:tcPr>
          <w:p w14:paraId="75A05EE1" w14:textId="77777777" w:rsidR="00DC0FBA" w:rsidRDefault="00DC0FBA" w:rsidP="00DC0FBA">
            <w:pPr>
              <w:pBdr>
                <w:top w:val="nil"/>
                <w:left w:val="nil"/>
                <w:bottom w:val="nil"/>
                <w:right w:val="nil"/>
                <w:between w:val="nil"/>
              </w:pBdr>
              <w:rPr>
                <w:rFonts w:ascii="Helvetica Neue" w:eastAsia="Helvetica Neue" w:hAnsi="Helvetica Neue" w:cs="Helvetica Neue"/>
                <w:color w:val="000000"/>
                <w:sz w:val="24"/>
                <w:szCs w:val="24"/>
              </w:rPr>
            </w:pPr>
            <w:r>
              <w:rPr>
                <w:rFonts w:ascii="Helvetica Neue" w:eastAsia="Helvetica Neue" w:hAnsi="Helvetica Neue" w:cs="Helvetica Neue"/>
                <w:b/>
                <w:color w:val="000000"/>
                <w:sz w:val="24"/>
                <w:szCs w:val="24"/>
              </w:rPr>
              <w:t>Measles, Mumps, Rubella:  MMR</w:t>
            </w:r>
          </w:p>
        </w:tc>
        <w:tc>
          <w:tcPr>
            <w:tcW w:w="1667" w:type="pct"/>
            <w:shd w:val="clear" w:color="auto" w:fill="E5DFEC"/>
          </w:tcPr>
          <w:p w14:paraId="2464CAB0" w14:textId="50990A81" w:rsidR="00DC0FBA" w:rsidRDefault="00DC0FBA" w:rsidP="00DC0FBA">
            <w:pPr>
              <w:pBdr>
                <w:top w:val="nil"/>
                <w:left w:val="nil"/>
                <w:bottom w:val="nil"/>
                <w:right w:val="nil"/>
                <w:between w:val="nil"/>
              </w:pBdr>
              <w:rPr>
                <w:rFonts w:ascii="Helvetica Neue" w:eastAsia="Helvetica Neue" w:hAnsi="Helvetica Neue" w:cs="Helvetica Neue"/>
                <w:color w:val="000000"/>
                <w:sz w:val="24"/>
                <w:szCs w:val="24"/>
              </w:rPr>
            </w:pPr>
            <w:r>
              <w:rPr>
                <w:rFonts w:ascii="Helvetica Neue" w:eastAsia="Helvetica Neue" w:hAnsi="Helvetica Neue" w:cs="Helvetica Neue"/>
                <w:sz w:val="24"/>
                <w:szCs w:val="24"/>
              </w:rPr>
              <w:t>2</w:t>
            </w:r>
            <w:r>
              <w:rPr>
                <w:rFonts w:ascii="Helvetica Neue" w:eastAsia="Helvetica Neue" w:hAnsi="Helvetica Neue" w:cs="Helvetica Neue"/>
                <w:color w:val="000000"/>
                <w:sz w:val="24"/>
                <w:szCs w:val="24"/>
              </w:rPr>
              <w:t xml:space="preserve"> shots</w:t>
            </w:r>
          </w:p>
        </w:tc>
        <w:tc>
          <w:tcPr>
            <w:tcW w:w="1667" w:type="pct"/>
            <w:shd w:val="clear" w:color="auto" w:fill="E5DFEC"/>
          </w:tcPr>
          <w:p w14:paraId="093926D5" w14:textId="77777777" w:rsidR="00DC0FBA" w:rsidRDefault="00DC0FBA" w:rsidP="00DC0FBA">
            <w:pPr>
              <w:pBdr>
                <w:top w:val="nil"/>
                <w:left w:val="nil"/>
                <w:bottom w:val="nil"/>
                <w:right w:val="nil"/>
                <w:between w:val="nil"/>
              </w:pBdr>
              <w:rPr>
                <w:rFonts w:ascii="Helvetica Neue" w:eastAsia="Helvetica Neue" w:hAnsi="Helvetica Neue" w:cs="Helvetica Neue"/>
                <w:sz w:val="24"/>
                <w:szCs w:val="24"/>
              </w:rPr>
            </w:pPr>
            <w:r>
              <w:rPr>
                <w:rFonts w:ascii="Helvetica Neue" w:eastAsia="Helvetica Neue" w:hAnsi="Helvetica Neue" w:cs="Helvetica Neue"/>
                <w:sz w:val="24"/>
                <w:szCs w:val="24"/>
              </w:rPr>
              <w:t>If you were born after 1956, Stanford requires written documentation of one of the following:</w:t>
            </w:r>
          </w:p>
          <w:p w14:paraId="14FD9D78" w14:textId="25E5B826" w:rsidR="00DC0FBA" w:rsidRDefault="00DC0FBA" w:rsidP="00DC0FBA">
            <w:pPr>
              <w:pBdr>
                <w:top w:val="nil"/>
                <w:left w:val="nil"/>
                <w:bottom w:val="nil"/>
                <w:right w:val="nil"/>
                <w:between w:val="nil"/>
              </w:pBdr>
              <w:rPr>
                <w:rFonts w:ascii="Helvetica Neue" w:eastAsia="Helvetica Neue" w:hAnsi="Helvetica Neue" w:cs="Helvetica Neue"/>
                <w:sz w:val="24"/>
                <w:szCs w:val="24"/>
              </w:rPr>
            </w:pPr>
            <w:r>
              <w:rPr>
                <w:rFonts w:ascii="Helvetica Neue" w:eastAsia="Helvetica Neue" w:hAnsi="Helvetica Neue" w:cs="Helvetica Neue"/>
                <w:sz w:val="24"/>
                <w:szCs w:val="24"/>
              </w:rPr>
              <w:t>Proof of two do</w:t>
            </w:r>
            <w:r w:rsidR="00C91C95">
              <w:rPr>
                <w:rFonts w:ascii="Helvetica Neue" w:eastAsia="Helvetica Neue" w:hAnsi="Helvetica Neue" w:cs="Helvetica Neue"/>
                <w:sz w:val="24"/>
                <w:szCs w:val="24"/>
              </w:rPr>
              <w:t>ses</w:t>
            </w:r>
            <w:r>
              <w:rPr>
                <w:rFonts w:ascii="Helvetica Neue" w:eastAsia="Helvetica Neue" w:hAnsi="Helvetica Neue" w:cs="Helvetica Neue"/>
                <w:sz w:val="24"/>
                <w:szCs w:val="24"/>
              </w:rPr>
              <w:t xml:space="preserve"> of MMR at least 28 days apart after 12 months of age, or laboratory evidence of antibodies (requires a separate blood titer for each).</w:t>
            </w:r>
          </w:p>
        </w:tc>
      </w:tr>
      <w:tr w:rsidR="00DC0FBA" w14:paraId="19B9E21A" w14:textId="608EC601" w:rsidTr="00DC0FBA">
        <w:trPr>
          <w:trHeight w:val="507"/>
        </w:trPr>
        <w:tc>
          <w:tcPr>
            <w:tcW w:w="1666" w:type="pct"/>
            <w:shd w:val="clear" w:color="auto" w:fill="E5DFEC"/>
          </w:tcPr>
          <w:p w14:paraId="78062DEF" w14:textId="77777777" w:rsidR="00DC0FBA" w:rsidRDefault="00DC0FBA" w:rsidP="00DC0FBA">
            <w:pPr>
              <w:pBdr>
                <w:top w:val="nil"/>
                <w:left w:val="nil"/>
                <w:bottom w:val="nil"/>
                <w:right w:val="nil"/>
                <w:between w:val="nil"/>
              </w:pBdr>
              <w:rPr>
                <w:rFonts w:ascii="Helvetica Neue" w:eastAsia="Helvetica Neue" w:hAnsi="Helvetica Neue" w:cs="Helvetica Neue"/>
                <w:color w:val="000000"/>
                <w:sz w:val="24"/>
                <w:szCs w:val="24"/>
              </w:rPr>
            </w:pPr>
            <w:r>
              <w:rPr>
                <w:rFonts w:ascii="Helvetica Neue" w:eastAsia="Helvetica Neue" w:hAnsi="Helvetica Neue" w:cs="Helvetica Neue"/>
                <w:b/>
                <w:color w:val="000000"/>
                <w:sz w:val="24"/>
                <w:szCs w:val="24"/>
              </w:rPr>
              <w:t>Varicella (Chicken Pox)</w:t>
            </w:r>
          </w:p>
        </w:tc>
        <w:tc>
          <w:tcPr>
            <w:tcW w:w="1667" w:type="pct"/>
            <w:shd w:val="clear" w:color="auto" w:fill="E5DFEC"/>
          </w:tcPr>
          <w:p w14:paraId="201D28FB" w14:textId="02EE9ED5" w:rsidR="00DC0FBA" w:rsidRDefault="00DC0FBA" w:rsidP="00DC0FBA">
            <w:pPr>
              <w:pBdr>
                <w:top w:val="nil"/>
                <w:left w:val="nil"/>
                <w:bottom w:val="nil"/>
                <w:right w:val="nil"/>
                <w:between w:val="nil"/>
              </w:pBdr>
              <w:rPr>
                <w:rFonts w:ascii="Helvetica Neue" w:eastAsia="Helvetica Neue" w:hAnsi="Helvetica Neue" w:cs="Helvetica Neue"/>
                <w:color w:val="000000"/>
                <w:sz w:val="24"/>
                <w:szCs w:val="24"/>
              </w:rPr>
            </w:pPr>
            <w:r>
              <w:rPr>
                <w:rFonts w:ascii="Helvetica Neue" w:eastAsia="Helvetica Neue" w:hAnsi="Helvetica Neue" w:cs="Helvetica Neue"/>
                <w:color w:val="000000"/>
                <w:sz w:val="24"/>
                <w:szCs w:val="24"/>
              </w:rPr>
              <w:t xml:space="preserve">If no evidence of the previous infection, </w:t>
            </w:r>
            <w:r>
              <w:rPr>
                <w:rFonts w:ascii="Helvetica Neue" w:eastAsia="Helvetica Neue" w:hAnsi="Helvetica Neue" w:cs="Helvetica Neue"/>
                <w:sz w:val="24"/>
                <w:szCs w:val="24"/>
              </w:rPr>
              <w:t xml:space="preserve">2 </w:t>
            </w:r>
            <w:r>
              <w:rPr>
                <w:rFonts w:ascii="Helvetica Neue" w:eastAsia="Helvetica Neue" w:hAnsi="Helvetica Neue" w:cs="Helvetica Neue"/>
                <w:color w:val="000000"/>
                <w:sz w:val="24"/>
                <w:szCs w:val="24"/>
              </w:rPr>
              <w:t>shots</w:t>
            </w:r>
          </w:p>
        </w:tc>
        <w:tc>
          <w:tcPr>
            <w:tcW w:w="1667" w:type="pct"/>
            <w:shd w:val="clear" w:color="auto" w:fill="E5DFEC"/>
          </w:tcPr>
          <w:p w14:paraId="43885272" w14:textId="7EB42B05" w:rsidR="00DC0FBA" w:rsidRDefault="00DC0FBA" w:rsidP="00DC0FBA">
            <w:pPr>
              <w:pBdr>
                <w:top w:val="nil"/>
                <w:left w:val="nil"/>
                <w:bottom w:val="nil"/>
                <w:right w:val="nil"/>
                <w:between w:val="nil"/>
              </w:pBdr>
              <w:rPr>
                <w:rFonts w:ascii="Helvetica Neue" w:eastAsia="Helvetica Neue" w:hAnsi="Helvetica Neue" w:cs="Helvetica Neue"/>
                <w:color w:val="000000"/>
                <w:sz w:val="24"/>
                <w:szCs w:val="24"/>
              </w:rPr>
            </w:pPr>
            <w:r>
              <w:rPr>
                <w:rFonts w:ascii="Helvetica Neue" w:eastAsia="Helvetica Neue" w:hAnsi="Helvetica Neue" w:cs="Helvetica Neue"/>
                <w:color w:val="000000"/>
                <w:sz w:val="24"/>
                <w:szCs w:val="24"/>
              </w:rPr>
              <w:t>If you are a medical or physician assistant student, Stanford requires written documentation of one of the following:</w:t>
            </w:r>
          </w:p>
          <w:p w14:paraId="604F0428" w14:textId="08D56218" w:rsidR="00DC0FBA" w:rsidRDefault="00DC0FBA" w:rsidP="00DC0FBA">
            <w:pPr>
              <w:pBdr>
                <w:top w:val="nil"/>
                <w:left w:val="nil"/>
                <w:bottom w:val="nil"/>
                <w:right w:val="nil"/>
                <w:between w:val="nil"/>
              </w:pBdr>
              <w:rPr>
                <w:rFonts w:ascii="Helvetica Neue" w:eastAsia="Helvetica Neue" w:hAnsi="Helvetica Neue" w:cs="Helvetica Neue"/>
                <w:color w:val="000000"/>
                <w:sz w:val="24"/>
                <w:szCs w:val="24"/>
              </w:rPr>
            </w:pPr>
            <w:r>
              <w:rPr>
                <w:rFonts w:ascii="Helvetica Neue" w:eastAsia="Helvetica Neue" w:hAnsi="Helvetica Neue" w:cs="Helvetica Neue"/>
                <w:color w:val="000000"/>
                <w:sz w:val="24"/>
                <w:szCs w:val="24"/>
              </w:rPr>
              <w:t>Proof of two doses of Varicella vaccine, or laboratory evidence of antibodies.</w:t>
            </w:r>
          </w:p>
        </w:tc>
      </w:tr>
      <w:tr w:rsidR="00DC0FBA" w14:paraId="26ECF874" w14:textId="525F4CAB" w:rsidTr="00DC0FBA">
        <w:trPr>
          <w:trHeight w:val="292"/>
        </w:trPr>
        <w:tc>
          <w:tcPr>
            <w:tcW w:w="1666" w:type="pct"/>
            <w:shd w:val="clear" w:color="auto" w:fill="E5DFEC"/>
          </w:tcPr>
          <w:p w14:paraId="0B23CCC6" w14:textId="77777777" w:rsidR="00DC0FBA" w:rsidRDefault="00DC0FBA" w:rsidP="00DC0FBA">
            <w:pPr>
              <w:pBdr>
                <w:top w:val="nil"/>
                <w:left w:val="nil"/>
                <w:bottom w:val="nil"/>
                <w:right w:val="nil"/>
                <w:between w:val="nil"/>
              </w:pBdr>
              <w:rPr>
                <w:rFonts w:ascii="Helvetica Neue" w:eastAsia="Helvetica Neue" w:hAnsi="Helvetica Neue" w:cs="Helvetica Neue"/>
                <w:color w:val="000000"/>
                <w:sz w:val="24"/>
                <w:szCs w:val="24"/>
              </w:rPr>
            </w:pPr>
            <w:r>
              <w:rPr>
                <w:rFonts w:ascii="Helvetica Neue" w:eastAsia="Helvetica Neue" w:hAnsi="Helvetica Neue" w:cs="Helvetica Neue"/>
                <w:b/>
                <w:color w:val="000000"/>
                <w:sz w:val="24"/>
                <w:szCs w:val="24"/>
              </w:rPr>
              <w:t>Influenza</w:t>
            </w:r>
          </w:p>
        </w:tc>
        <w:tc>
          <w:tcPr>
            <w:tcW w:w="1667" w:type="pct"/>
            <w:shd w:val="clear" w:color="auto" w:fill="E5DFEC"/>
          </w:tcPr>
          <w:p w14:paraId="77738CC9" w14:textId="57838BBF" w:rsidR="00DC0FBA" w:rsidRDefault="00DC0FBA" w:rsidP="00DC0FBA">
            <w:pPr>
              <w:pBdr>
                <w:top w:val="nil"/>
                <w:left w:val="nil"/>
                <w:bottom w:val="nil"/>
                <w:right w:val="nil"/>
                <w:between w:val="nil"/>
              </w:pBdr>
              <w:rPr>
                <w:rFonts w:ascii="Helvetica Neue" w:eastAsia="Helvetica Neue" w:hAnsi="Helvetica Neue" w:cs="Helvetica Neue"/>
                <w:color w:val="000000"/>
                <w:sz w:val="24"/>
                <w:szCs w:val="24"/>
              </w:rPr>
            </w:pPr>
            <w:r>
              <w:rPr>
                <w:rFonts w:ascii="Helvetica Neue" w:eastAsia="Helvetica Neue" w:hAnsi="Helvetica Neue" w:cs="Helvetica Neue"/>
                <w:sz w:val="24"/>
                <w:szCs w:val="24"/>
              </w:rPr>
              <w:t>1</w:t>
            </w:r>
            <w:r>
              <w:rPr>
                <w:rFonts w:ascii="Helvetica Neue" w:eastAsia="Helvetica Neue" w:hAnsi="Helvetica Neue" w:cs="Helvetica Neue"/>
                <w:color w:val="000000"/>
                <w:sz w:val="24"/>
                <w:szCs w:val="24"/>
              </w:rPr>
              <w:t xml:space="preserve"> shot or nasal spray every fall as formulation varies</w:t>
            </w:r>
          </w:p>
        </w:tc>
        <w:tc>
          <w:tcPr>
            <w:tcW w:w="1667" w:type="pct"/>
            <w:shd w:val="clear" w:color="auto" w:fill="E5DFEC"/>
          </w:tcPr>
          <w:p w14:paraId="2D0D29AB" w14:textId="60E36037" w:rsidR="00DC0FBA" w:rsidRDefault="00DC0FBA" w:rsidP="00DC0FBA">
            <w:pPr>
              <w:pBdr>
                <w:top w:val="nil"/>
                <w:left w:val="nil"/>
                <w:bottom w:val="nil"/>
                <w:right w:val="nil"/>
                <w:between w:val="nil"/>
              </w:pBdr>
              <w:rPr>
                <w:rFonts w:ascii="Helvetica Neue" w:eastAsia="Helvetica Neue" w:hAnsi="Helvetica Neue" w:cs="Helvetica Neue"/>
                <w:sz w:val="24"/>
                <w:szCs w:val="24"/>
              </w:rPr>
            </w:pPr>
          </w:p>
        </w:tc>
      </w:tr>
      <w:tr w:rsidR="00DC0FBA" w14:paraId="5B92E824" w14:textId="6D044E06" w:rsidTr="00DC0FBA">
        <w:trPr>
          <w:trHeight w:val="292"/>
        </w:trPr>
        <w:tc>
          <w:tcPr>
            <w:tcW w:w="1666" w:type="pct"/>
            <w:shd w:val="clear" w:color="auto" w:fill="E5DFEC"/>
          </w:tcPr>
          <w:p w14:paraId="6C043050" w14:textId="6133798B" w:rsidR="00DC0FBA" w:rsidRDefault="00DC0FBA" w:rsidP="00DC0FBA">
            <w:pPr>
              <w:pBdr>
                <w:top w:val="nil"/>
                <w:left w:val="nil"/>
                <w:bottom w:val="nil"/>
                <w:right w:val="nil"/>
                <w:between w:val="nil"/>
              </w:pBdr>
              <w:rPr>
                <w:rFonts w:ascii="Helvetica Neue" w:eastAsia="Helvetica Neue" w:hAnsi="Helvetica Neue" w:cs="Helvetica Neue"/>
                <w:color w:val="000000"/>
                <w:sz w:val="24"/>
                <w:szCs w:val="24"/>
              </w:rPr>
            </w:pPr>
            <w:r>
              <w:rPr>
                <w:rFonts w:ascii="Helvetica Neue" w:eastAsia="Helvetica Neue" w:hAnsi="Helvetica Neue" w:cs="Helvetica Neue"/>
                <w:b/>
                <w:color w:val="000000"/>
                <w:sz w:val="24"/>
                <w:szCs w:val="24"/>
              </w:rPr>
              <w:t>Polio Series</w:t>
            </w:r>
          </w:p>
        </w:tc>
        <w:tc>
          <w:tcPr>
            <w:tcW w:w="1667" w:type="pct"/>
            <w:shd w:val="clear" w:color="auto" w:fill="E5DFEC"/>
          </w:tcPr>
          <w:p w14:paraId="77BE5369" w14:textId="6C950ABB" w:rsidR="00DC0FBA" w:rsidRDefault="00DC0FBA" w:rsidP="00DC0FBA">
            <w:pPr>
              <w:pBdr>
                <w:top w:val="nil"/>
                <w:left w:val="nil"/>
                <w:bottom w:val="nil"/>
                <w:right w:val="nil"/>
                <w:between w:val="nil"/>
              </w:pBdr>
              <w:rPr>
                <w:rFonts w:ascii="Helvetica Neue" w:eastAsia="Helvetica Neue" w:hAnsi="Helvetica Neue" w:cs="Helvetica Neue"/>
                <w:color w:val="000000"/>
                <w:sz w:val="24"/>
                <w:szCs w:val="24"/>
              </w:rPr>
            </w:pPr>
            <w:r>
              <w:rPr>
                <w:rFonts w:ascii="Helvetica Neue" w:eastAsia="Helvetica Neue" w:hAnsi="Helvetica Neue" w:cs="Helvetica Neue"/>
                <w:color w:val="000000"/>
                <w:sz w:val="24"/>
                <w:szCs w:val="24"/>
              </w:rPr>
              <w:t>Primary series (up to age 17) – sometimes booster for travel</w:t>
            </w:r>
          </w:p>
        </w:tc>
        <w:tc>
          <w:tcPr>
            <w:tcW w:w="1667" w:type="pct"/>
            <w:shd w:val="clear" w:color="auto" w:fill="E5DFEC"/>
          </w:tcPr>
          <w:p w14:paraId="59323244" w14:textId="233D1103" w:rsidR="00DC0FBA" w:rsidRDefault="00DC0FBA" w:rsidP="00DC0FBA">
            <w:pPr>
              <w:pBdr>
                <w:top w:val="nil"/>
                <w:left w:val="nil"/>
                <w:bottom w:val="nil"/>
                <w:right w:val="nil"/>
                <w:between w:val="nil"/>
              </w:pBdr>
              <w:rPr>
                <w:rFonts w:ascii="Helvetica Neue" w:eastAsia="Helvetica Neue" w:hAnsi="Helvetica Neue" w:cs="Helvetica Neue"/>
                <w:color w:val="000000"/>
                <w:sz w:val="24"/>
                <w:szCs w:val="24"/>
              </w:rPr>
            </w:pPr>
            <w:r>
              <w:rPr>
                <w:rFonts w:ascii="Helvetica Neue" w:eastAsia="Helvetica Neue" w:hAnsi="Helvetica Neue" w:cs="Helvetica Neue"/>
                <w:color w:val="000000"/>
                <w:sz w:val="24"/>
                <w:szCs w:val="24"/>
              </w:rPr>
              <w:t>It is highly recommended that you complete an initial series.</w:t>
            </w:r>
          </w:p>
        </w:tc>
      </w:tr>
      <w:tr w:rsidR="00DC0FBA" w14:paraId="315EAB35" w14:textId="75BF3EBB" w:rsidTr="00DC0FBA">
        <w:trPr>
          <w:trHeight w:val="292"/>
        </w:trPr>
        <w:tc>
          <w:tcPr>
            <w:tcW w:w="1666" w:type="pct"/>
            <w:shd w:val="clear" w:color="auto" w:fill="E5DFEC"/>
          </w:tcPr>
          <w:p w14:paraId="2DE096CE" w14:textId="024AFEE5" w:rsidR="00DC0FBA" w:rsidRDefault="00DC0FBA" w:rsidP="00DC0FBA">
            <w:pPr>
              <w:pBdr>
                <w:top w:val="nil"/>
                <w:left w:val="nil"/>
                <w:bottom w:val="nil"/>
                <w:right w:val="nil"/>
                <w:between w:val="nil"/>
              </w:pBdr>
              <w:rPr>
                <w:rFonts w:ascii="Helvetica Neue" w:eastAsia="Helvetica Neue" w:hAnsi="Helvetica Neue" w:cs="Helvetica Neue"/>
                <w:color w:val="000000"/>
                <w:sz w:val="24"/>
                <w:szCs w:val="24"/>
              </w:rPr>
            </w:pPr>
            <w:r>
              <w:rPr>
                <w:rFonts w:ascii="Helvetica Neue" w:eastAsia="Helvetica Neue" w:hAnsi="Helvetica Neue" w:cs="Helvetica Neue"/>
                <w:b/>
                <w:color w:val="000000"/>
                <w:sz w:val="24"/>
                <w:szCs w:val="24"/>
              </w:rPr>
              <w:t>HPV (Gardasil) Series</w:t>
            </w:r>
          </w:p>
        </w:tc>
        <w:tc>
          <w:tcPr>
            <w:tcW w:w="1667" w:type="pct"/>
            <w:shd w:val="clear" w:color="auto" w:fill="E5DFEC"/>
          </w:tcPr>
          <w:p w14:paraId="1C061BA1" w14:textId="2942125F" w:rsidR="00DC0FBA" w:rsidRDefault="00DC0FBA" w:rsidP="00DC0FBA">
            <w:pPr>
              <w:pBdr>
                <w:top w:val="nil"/>
                <w:left w:val="nil"/>
                <w:bottom w:val="nil"/>
                <w:right w:val="nil"/>
                <w:between w:val="nil"/>
              </w:pBdr>
              <w:rPr>
                <w:rFonts w:ascii="Helvetica Neue" w:eastAsia="Helvetica Neue" w:hAnsi="Helvetica Neue" w:cs="Helvetica Neue"/>
                <w:color w:val="000000"/>
                <w:sz w:val="24"/>
                <w:szCs w:val="24"/>
              </w:rPr>
            </w:pPr>
            <w:r>
              <w:rPr>
                <w:rFonts w:ascii="Helvetica Neue" w:eastAsia="Helvetica Neue" w:hAnsi="Helvetica Neue" w:cs="Helvetica Neue"/>
                <w:color w:val="000000"/>
                <w:sz w:val="24"/>
                <w:szCs w:val="24"/>
              </w:rPr>
              <w:t>2 shots before age 15 or 3 shots (up to age 45)</w:t>
            </w:r>
          </w:p>
        </w:tc>
        <w:tc>
          <w:tcPr>
            <w:tcW w:w="1667" w:type="pct"/>
            <w:shd w:val="clear" w:color="auto" w:fill="E5DFEC"/>
          </w:tcPr>
          <w:p w14:paraId="44D67894" w14:textId="26E7950A" w:rsidR="00DC0FBA" w:rsidRDefault="00DC0FBA" w:rsidP="00DC0FBA">
            <w:pPr>
              <w:pBdr>
                <w:top w:val="nil"/>
                <w:left w:val="nil"/>
                <w:bottom w:val="nil"/>
                <w:right w:val="nil"/>
                <w:between w:val="nil"/>
              </w:pBdr>
              <w:rPr>
                <w:rFonts w:ascii="Helvetica Neue" w:eastAsia="Helvetica Neue" w:hAnsi="Helvetica Neue" w:cs="Helvetica Neue"/>
                <w:color w:val="000000"/>
                <w:sz w:val="24"/>
                <w:szCs w:val="24"/>
              </w:rPr>
            </w:pPr>
          </w:p>
        </w:tc>
      </w:tr>
      <w:tr w:rsidR="00DC0FBA" w14:paraId="0CB6D8BB" w14:textId="72DCAE4A" w:rsidTr="00DC0FBA">
        <w:trPr>
          <w:trHeight w:val="292"/>
        </w:trPr>
        <w:tc>
          <w:tcPr>
            <w:tcW w:w="1666" w:type="pct"/>
            <w:shd w:val="clear" w:color="auto" w:fill="E5DFEC"/>
          </w:tcPr>
          <w:p w14:paraId="17DAE12E" w14:textId="77777777" w:rsidR="00DC0FBA" w:rsidRDefault="00DC0FBA" w:rsidP="00DC0FBA">
            <w:pPr>
              <w:pBdr>
                <w:top w:val="nil"/>
                <w:left w:val="nil"/>
                <w:bottom w:val="nil"/>
                <w:right w:val="nil"/>
                <w:between w:val="nil"/>
              </w:pBdr>
              <w:rPr>
                <w:rFonts w:ascii="Helvetica Neue" w:eastAsia="Helvetica Neue" w:hAnsi="Helvetica Neue" w:cs="Helvetica Neue"/>
                <w:color w:val="000000"/>
                <w:sz w:val="24"/>
                <w:szCs w:val="24"/>
              </w:rPr>
            </w:pPr>
            <w:r>
              <w:rPr>
                <w:rFonts w:ascii="Helvetica Neue" w:eastAsia="Helvetica Neue" w:hAnsi="Helvetica Neue" w:cs="Helvetica Neue"/>
                <w:b/>
                <w:color w:val="000000"/>
                <w:sz w:val="24"/>
                <w:szCs w:val="24"/>
              </w:rPr>
              <w:t>Meningococcal Vaccine ACWY</w:t>
            </w:r>
          </w:p>
        </w:tc>
        <w:tc>
          <w:tcPr>
            <w:tcW w:w="1667" w:type="pct"/>
            <w:shd w:val="clear" w:color="auto" w:fill="E5DFEC"/>
          </w:tcPr>
          <w:p w14:paraId="42FD5BC8" w14:textId="5DF18B1C" w:rsidR="00DC0FBA" w:rsidRDefault="00DC0FBA" w:rsidP="00DC0FBA">
            <w:pPr>
              <w:pBdr>
                <w:top w:val="nil"/>
                <w:left w:val="nil"/>
                <w:bottom w:val="nil"/>
                <w:right w:val="nil"/>
                <w:between w:val="nil"/>
              </w:pBdr>
              <w:rPr>
                <w:rFonts w:ascii="Helvetica Neue" w:eastAsia="Helvetica Neue" w:hAnsi="Helvetica Neue" w:cs="Helvetica Neue"/>
                <w:color w:val="000000"/>
                <w:sz w:val="24"/>
                <w:szCs w:val="24"/>
              </w:rPr>
            </w:pPr>
            <w:r>
              <w:rPr>
                <w:rFonts w:ascii="Helvetica Neue" w:eastAsia="Helvetica Neue" w:hAnsi="Helvetica Neue" w:cs="Helvetica Neue"/>
                <w:sz w:val="24"/>
                <w:szCs w:val="24"/>
              </w:rPr>
              <w:t>2 shots before age 18 and college frosh if not completed, as well as others at risk</w:t>
            </w:r>
          </w:p>
        </w:tc>
        <w:tc>
          <w:tcPr>
            <w:tcW w:w="1667" w:type="pct"/>
            <w:shd w:val="clear" w:color="auto" w:fill="E5DFEC"/>
          </w:tcPr>
          <w:p w14:paraId="171735A3" w14:textId="1D4D656B" w:rsidR="00DC0FBA" w:rsidRDefault="00DC0FBA" w:rsidP="00DC0FBA">
            <w:pPr>
              <w:pBdr>
                <w:top w:val="nil"/>
                <w:left w:val="nil"/>
                <w:bottom w:val="nil"/>
                <w:right w:val="nil"/>
                <w:between w:val="nil"/>
              </w:pBdr>
              <w:rPr>
                <w:rFonts w:ascii="Helvetica Neue" w:eastAsia="Helvetica Neue" w:hAnsi="Helvetica Neue" w:cs="Helvetica Neue"/>
                <w:sz w:val="24"/>
                <w:szCs w:val="24"/>
              </w:rPr>
            </w:pPr>
          </w:p>
        </w:tc>
      </w:tr>
      <w:tr w:rsidR="00DC0FBA" w14:paraId="663A1235" w14:textId="70715F4A" w:rsidTr="00DC0FBA">
        <w:trPr>
          <w:trHeight w:val="292"/>
        </w:trPr>
        <w:tc>
          <w:tcPr>
            <w:tcW w:w="1666" w:type="pct"/>
            <w:shd w:val="clear" w:color="auto" w:fill="E5DFEC"/>
          </w:tcPr>
          <w:p w14:paraId="5DA545F0" w14:textId="2F1F6C0C" w:rsidR="00DC0FBA" w:rsidRDefault="00DC0FBA" w:rsidP="00DC0FBA">
            <w:pPr>
              <w:pBdr>
                <w:top w:val="nil"/>
                <w:left w:val="nil"/>
                <w:bottom w:val="nil"/>
                <w:right w:val="nil"/>
                <w:between w:val="nil"/>
              </w:pBdr>
              <w:rPr>
                <w:rFonts w:ascii="Helvetica Neue" w:eastAsia="Helvetica Neue" w:hAnsi="Helvetica Neue" w:cs="Helvetica Neue"/>
                <w:b/>
                <w:color w:val="000000"/>
                <w:sz w:val="24"/>
                <w:szCs w:val="24"/>
              </w:rPr>
            </w:pPr>
            <w:r>
              <w:rPr>
                <w:rFonts w:ascii="Helvetica Neue" w:eastAsia="Helvetica Neue" w:hAnsi="Helvetica Neue" w:cs="Helvetica Neue"/>
                <w:b/>
                <w:color w:val="000000"/>
                <w:sz w:val="24"/>
                <w:szCs w:val="24"/>
              </w:rPr>
              <w:t>COVID19  - Yearly in the fall with influenza vaccine</w:t>
            </w:r>
          </w:p>
        </w:tc>
        <w:tc>
          <w:tcPr>
            <w:tcW w:w="1667" w:type="pct"/>
            <w:shd w:val="clear" w:color="auto" w:fill="E5DFEC"/>
          </w:tcPr>
          <w:p w14:paraId="2878F762" w14:textId="33E835F2" w:rsidR="00DC0FBA" w:rsidRDefault="00DC0FBA" w:rsidP="00DC0FBA">
            <w:pPr>
              <w:pBdr>
                <w:top w:val="nil"/>
                <w:left w:val="nil"/>
                <w:bottom w:val="nil"/>
                <w:right w:val="nil"/>
                <w:between w:val="nil"/>
              </w:pBdr>
              <w:rPr>
                <w:rFonts w:ascii="Helvetica Neue" w:eastAsia="Helvetica Neue" w:hAnsi="Helvetica Neue" w:cs="Helvetica Neue"/>
                <w:color w:val="000000"/>
                <w:sz w:val="24"/>
                <w:szCs w:val="24"/>
              </w:rPr>
            </w:pPr>
            <w:r>
              <w:rPr>
                <w:rFonts w:ascii="Helvetica Neue" w:eastAsia="Helvetica Neue" w:hAnsi="Helvetica Neue" w:cs="Helvetica Neue"/>
                <w:color w:val="000000"/>
                <w:sz w:val="24"/>
                <w:szCs w:val="24"/>
              </w:rPr>
              <w:t>Pfizer-BioNTech</w:t>
            </w:r>
            <w:r>
              <w:rPr>
                <w:rFonts w:ascii="Helvetica Neue" w:eastAsia="Helvetica Neue" w:hAnsi="Helvetica Neue" w:cs="Helvetica Neue"/>
                <w:sz w:val="24"/>
                <w:szCs w:val="24"/>
              </w:rPr>
              <w:t xml:space="preserve">, </w:t>
            </w:r>
            <w:r>
              <w:rPr>
                <w:rFonts w:ascii="Helvetica Neue" w:eastAsia="Helvetica Neue" w:hAnsi="Helvetica Neue" w:cs="Helvetica Neue"/>
                <w:color w:val="000000"/>
                <w:sz w:val="24"/>
                <w:szCs w:val="24"/>
              </w:rPr>
              <w:t>Moderna</w:t>
            </w:r>
            <w:r>
              <w:rPr>
                <w:rFonts w:ascii="Helvetica Neue" w:eastAsia="Helvetica Neue" w:hAnsi="Helvetica Neue" w:cs="Helvetica Neue"/>
                <w:sz w:val="24"/>
                <w:szCs w:val="24"/>
              </w:rPr>
              <w:t xml:space="preserve">, Novavax, others under development. </w:t>
            </w:r>
          </w:p>
          <w:p w14:paraId="43B7335B" w14:textId="3371C239" w:rsidR="00DC0FBA" w:rsidRDefault="00DC0FBA" w:rsidP="00DC0FBA">
            <w:pPr>
              <w:pBdr>
                <w:top w:val="nil"/>
                <w:left w:val="nil"/>
                <w:bottom w:val="nil"/>
                <w:right w:val="nil"/>
                <w:between w:val="nil"/>
              </w:pBdr>
              <w:rPr>
                <w:rFonts w:ascii="Helvetica Neue" w:eastAsia="Helvetica Neue" w:hAnsi="Helvetica Neue" w:cs="Helvetica Neue"/>
                <w:color w:val="000000"/>
                <w:sz w:val="24"/>
                <w:szCs w:val="24"/>
              </w:rPr>
            </w:pPr>
            <w:r>
              <w:rPr>
                <w:rFonts w:ascii="Helvetica Neue" w:eastAsia="Helvetica Neue" w:hAnsi="Helvetica Neue" w:cs="Helvetica Neue"/>
                <w:sz w:val="24"/>
                <w:szCs w:val="24"/>
              </w:rPr>
              <w:t>Appropriate boosters</w:t>
            </w:r>
          </w:p>
        </w:tc>
        <w:tc>
          <w:tcPr>
            <w:tcW w:w="1667" w:type="pct"/>
            <w:shd w:val="clear" w:color="auto" w:fill="E5DFEC"/>
          </w:tcPr>
          <w:p w14:paraId="4861991C" w14:textId="2EC51909" w:rsidR="00DC0FBA" w:rsidRDefault="00C91C95" w:rsidP="00DC0FBA">
            <w:pPr>
              <w:pBdr>
                <w:top w:val="nil"/>
                <w:left w:val="nil"/>
                <w:bottom w:val="nil"/>
                <w:right w:val="nil"/>
                <w:between w:val="nil"/>
              </w:pBdr>
              <w:rPr>
                <w:rFonts w:ascii="Helvetica Neue" w:eastAsia="Helvetica Neue" w:hAnsi="Helvetica Neue" w:cs="Helvetica Neue"/>
                <w:color w:val="000000"/>
                <w:sz w:val="24"/>
                <w:szCs w:val="24"/>
              </w:rPr>
            </w:pPr>
            <w:r>
              <w:rPr>
                <w:rFonts w:ascii="Helvetica Neue" w:eastAsia="Helvetica Neue" w:hAnsi="Helvetica Neue" w:cs="Helvetica Neue"/>
                <w:color w:val="000000"/>
                <w:sz w:val="24"/>
                <w:szCs w:val="24"/>
              </w:rPr>
              <w:t xml:space="preserve">If you are a medical or physician assistant student, you must meet the current Covid requirement for Stanford healthcare workers. </w:t>
            </w:r>
          </w:p>
        </w:tc>
      </w:tr>
    </w:tbl>
    <w:p w14:paraId="5CD96786" w14:textId="77777777" w:rsidR="00A73187" w:rsidRDefault="00A15C85">
      <w:pPr>
        <w:pBdr>
          <w:top w:val="nil"/>
          <w:left w:val="nil"/>
          <w:bottom w:val="nil"/>
          <w:right w:val="nil"/>
          <w:between w:val="nil"/>
        </w:pBdr>
        <w:spacing w:after="0" w:line="240" w:lineRule="auto"/>
        <w:rPr>
          <w:rFonts w:ascii="Cambria" w:eastAsia="Cambria" w:hAnsi="Cambria" w:cs="Cambria"/>
          <w:b/>
          <w:color w:val="000000"/>
        </w:rPr>
      </w:pPr>
      <w:r>
        <w:rPr>
          <w:rFonts w:ascii="Helvetica Neue" w:eastAsia="Helvetica Neue" w:hAnsi="Helvetica Neue" w:cs="Helvetica Neue"/>
          <w:color w:val="000000"/>
          <w:sz w:val="28"/>
          <w:szCs w:val="28"/>
        </w:rPr>
        <w:br/>
      </w:r>
      <w:r>
        <w:rPr>
          <w:rFonts w:ascii="Cambria" w:eastAsia="Cambria" w:hAnsi="Cambria" w:cs="Cambria"/>
          <w:b/>
          <w:color w:val="000000"/>
          <w:sz w:val="28"/>
          <w:szCs w:val="28"/>
        </w:rPr>
        <w:t>Additional Vaccines for Special Populations:</w:t>
      </w:r>
    </w:p>
    <w:tbl>
      <w:tblPr>
        <w:tblStyle w:val="a0"/>
        <w:tblW w:w="15295" w:type="dxa"/>
        <w:tblBorders>
          <w:top w:val="single" w:sz="4" w:space="0" w:color="C2D69B"/>
          <w:left w:val="single" w:sz="4" w:space="0" w:color="BFBFBF"/>
          <w:bottom w:val="single" w:sz="4" w:space="0" w:color="C2D69B"/>
          <w:right w:val="single" w:sz="4" w:space="0" w:color="BFBFBF"/>
          <w:insideH w:val="single" w:sz="4" w:space="0" w:color="C2D69B"/>
          <w:insideV w:val="single" w:sz="4" w:space="0" w:color="BFBFBF"/>
        </w:tblBorders>
        <w:tblLayout w:type="fixed"/>
        <w:tblLook w:val="0400" w:firstRow="0" w:lastRow="0" w:firstColumn="0" w:lastColumn="0" w:noHBand="0" w:noVBand="1"/>
      </w:tblPr>
      <w:tblGrid>
        <w:gridCol w:w="5390"/>
        <w:gridCol w:w="9905"/>
      </w:tblGrid>
      <w:tr w:rsidR="00A73187" w14:paraId="5F03B6F3" w14:textId="77777777" w:rsidTr="00094E8C">
        <w:trPr>
          <w:trHeight w:val="1231"/>
        </w:trPr>
        <w:tc>
          <w:tcPr>
            <w:tcW w:w="5390" w:type="dxa"/>
            <w:shd w:val="clear" w:color="auto" w:fill="E5DFEC"/>
          </w:tcPr>
          <w:p w14:paraId="1B656B94" w14:textId="77777777" w:rsidR="00A73187" w:rsidRDefault="00A15C85">
            <w:pPr>
              <w:pBdr>
                <w:top w:val="nil"/>
                <w:left w:val="nil"/>
                <w:bottom w:val="nil"/>
                <w:right w:val="nil"/>
                <w:between w:val="nil"/>
              </w:pBdr>
              <w:rPr>
                <w:rFonts w:ascii="Helvetica Neue" w:eastAsia="Helvetica Neue" w:hAnsi="Helvetica Neue" w:cs="Helvetica Neue"/>
                <w:color w:val="000000"/>
                <w:sz w:val="24"/>
                <w:szCs w:val="24"/>
              </w:rPr>
            </w:pPr>
            <w:r>
              <w:rPr>
                <w:rFonts w:ascii="Helvetica Neue" w:eastAsia="Helvetica Neue" w:hAnsi="Helvetica Neue" w:cs="Helvetica Neue"/>
                <w:b/>
                <w:color w:val="000000"/>
                <w:sz w:val="24"/>
                <w:szCs w:val="24"/>
              </w:rPr>
              <w:lastRenderedPageBreak/>
              <w:t>Pneumococcal¹</w:t>
            </w:r>
          </w:p>
        </w:tc>
        <w:tc>
          <w:tcPr>
            <w:tcW w:w="9905" w:type="dxa"/>
            <w:shd w:val="clear" w:color="auto" w:fill="E5DFEC"/>
          </w:tcPr>
          <w:p w14:paraId="1CDCD5D3" w14:textId="77777777" w:rsidR="00A73187" w:rsidRDefault="00A15C85">
            <w:pPr>
              <w:pBdr>
                <w:top w:val="nil"/>
                <w:left w:val="nil"/>
                <w:bottom w:val="nil"/>
                <w:right w:val="nil"/>
                <w:between w:val="nil"/>
              </w:pBdr>
              <w:rPr>
                <w:rFonts w:ascii="Helvetica Neue" w:eastAsia="Helvetica Neue" w:hAnsi="Helvetica Neue" w:cs="Helvetica Neue"/>
                <w:color w:val="000000"/>
                <w:sz w:val="24"/>
                <w:szCs w:val="24"/>
              </w:rPr>
            </w:pPr>
            <w:r>
              <w:rPr>
                <w:rFonts w:ascii="Helvetica Neue" w:eastAsia="Helvetica Neue" w:hAnsi="Helvetica Neue" w:cs="Helvetica Neue"/>
                <w:color w:val="000000"/>
                <w:sz w:val="24"/>
                <w:szCs w:val="24"/>
              </w:rPr>
              <w:t xml:space="preserve">Indicated for patients with specific health problems (e.g., heart, liver, or lung disease, diabetes, sickle cell anemia, asplenia), taking medications that lower the body’s resistance to disease, and </w:t>
            </w:r>
            <w:r>
              <w:rPr>
                <w:rFonts w:ascii="Helvetica Neue" w:eastAsia="Helvetica Neue" w:hAnsi="Helvetica Neue" w:cs="Helvetica Neue"/>
                <w:b/>
                <w:color w:val="000000"/>
                <w:sz w:val="24"/>
                <w:szCs w:val="24"/>
              </w:rPr>
              <w:t>with any history of asthma, or smoking</w:t>
            </w:r>
          </w:p>
        </w:tc>
      </w:tr>
      <w:tr w:rsidR="00A73187" w14:paraId="6D987D95" w14:textId="77777777" w:rsidTr="00094E8C">
        <w:trPr>
          <w:trHeight w:val="985"/>
        </w:trPr>
        <w:tc>
          <w:tcPr>
            <w:tcW w:w="5390" w:type="dxa"/>
            <w:shd w:val="clear" w:color="auto" w:fill="E5DFEC"/>
          </w:tcPr>
          <w:p w14:paraId="2C8E6411" w14:textId="77777777" w:rsidR="00A73187" w:rsidRDefault="00A15C85">
            <w:pPr>
              <w:pBdr>
                <w:top w:val="nil"/>
                <w:left w:val="nil"/>
                <w:bottom w:val="nil"/>
                <w:right w:val="nil"/>
                <w:between w:val="nil"/>
              </w:pBdr>
              <w:rPr>
                <w:rFonts w:ascii="Helvetica Neue" w:eastAsia="Helvetica Neue" w:hAnsi="Helvetica Neue" w:cs="Helvetica Neue"/>
                <w:color w:val="000000"/>
                <w:sz w:val="24"/>
                <w:szCs w:val="24"/>
              </w:rPr>
            </w:pPr>
            <w:r>
              <w:rPr>
                <w:rFonts w:ascii="Helvetica Neue" w:eastAsia="Helvetica Neue" w:hAnsi="Helvetica Neue" w:cs="Helvetica Neue"/>
                <w:b/>
                <w:color w:val="000000"/>
                <w:sz w:val="24"/>
                <w:szCs w:val="24"/>
              </w:rPr>
              <w:t>Meningococcal B¹</w:t>
            </w:r>
          </w:p>
        </w:tc>
        <w:tc>
          <w:tcPr>
            <w:tcW w:w="9905" w:type="dxa"/>
            <w:shd w:val="clear" w:color="auto" w:fill="E5DFEC"/>
          </w:tcPr>
          <w:p w14:paraId="6DA1A735" w14:textId="77777777" w:rsidR="00A73187" w:rsidRDefault="00A15C85">
            <w:pPr>
              <w:pBdr>
                <w:top w:val="nil"/>
                <w:left w:val="nil"/>
                <w:bottom w:val="nil"/>
                <w:right w:val="nil"/>
                <w:between w:val="nil"/>
              </w:pBdr>
              <w:rPr>
                <w:rFonts w:ascii="Helvetica Neue" w:eastAsia="Helvetica Neue" w:hAnsi="Helvetica Neue" w:cs="Helvetica Neue"/>
                <w:color w:val="000000"/>
                <w:sz w:val="24"/>
                <w:szCs w:val="24"/>
              </w:rPr>
            </w:pPr>
            <w:r>
              <w:rPr>
                <w:rFonts w:ascii="Helvetica Neue" w:eastAsia="Helvetica Neue" w:hAnsi="Helvetica Neue" w:cs="Helvetica Neue"/>
                <w:sz w:val="24"/>
                <w:szCs w:val="24"/>
              </w:rPr>
              <w:t>Individuals ages 16-23 may consider this after discussing it with their clinician. CDC also recommends the vaccine for others at risk from age 10 and up</w:t>
            </w:r>
          </w:p>
        </w:tc>
      </w:tr>
      <w:tr w:rsidR="00A73187" w14:paraId="08B73B4A" w14:textId="77777777" w:rsidTr="00094E8C">
        <w:trPr>
          <w:trHeight w:val="985"/>
        </w:trPr>
        <w:tc>
          <w:tcPr>
            <w:tcW w:w="5390" w:type="dxa"/>
            <w:shd w:val="clear" w:color="auto" w:fill="E5DFEC"/>
          </w:tcPr>
          <w:p w14:paraId="0E16BB89" w14:textId="77777777" w:rsidR="00A73187" w:rsidRDefault="00A15C85">
            <w:pPr>
              <w:pBdr>
                <w:top w:val="nil"/>
                <w:left w:val="nil"/>
                <w:bottom w:val="nil"/>
                <w:right w:val="nil"/>
                <w:between w:val="nil"/>
              </w:pBdr>
              <w:rPr>
                <w:rFonts w:ascii="Helvetica Neue" w:eastAsia="Helvetica Neue" w:hAnsi="Helvetica Neue" w:cs="Helvetica Neue"/>
                <w:b/>
                <w:color w:val="000000"/>
                <w:sz w:val="24"/>
                <w:szCs w:val="24"/>
              </w:rPr>
            </w:pPr>
            <w:r>
              <w:rPr>
                <w:rFonts w:ascii="Helvetica Neue" w:eastAsia="Helvetica Neue" w:hAnsi="Helvetica Neue" w:cs="Helvetica Neue"/>
                <w:b/>
                <w:sz w:val="24"/>
                <w:szCs w:val="24"/>
              </w:rPr>
              <w:t>Monkeypox</w:t>
            </w:r>
          </w:p>
        </w:tc>
        <w:tc>
          <w:tcPr>
            <w:tcW w:w="9905" w:type="dxa"/>
            <w:shd w:val="clear" w:color="auto" w:fill="E5DFEC"/>
          </w:tcPr>
          <w:p w14:paraId="19253ABB" w14:textId="77777777" w:rsidR="00A73187" w:rsidRDefault="00A15C85">
            <w:pPr>
              <w:pBdr>
                <w:top w:val="nil"/>
                <w:left w:val="nil"/>
                <w:bottom w:val="nil"/>
                <w:right w:val="nil"/>
                <w:between w:val="nil"/>
              </w:pBdr>
              <w:rPr>
                <w:rFonts w:ascii="Helvetica Neue" w:eastAsia="Helvetica Neue" w:hAnsi="Helvetica Neue" w:cs="Helvetica Neue"/>
                <w:sz w:val="24"/>
                <w:szCs w:val="24"/>
              </w:rPr>
            </w:pPr>
            <w:r>
              <w:rPr>
                <w:rFonts w:ascii="Helvetica Neue" w:eastAsia="Helvetica Neue" w:hAnsi="Helvetica Neue" w:cs="Helvetica Neue"/>
                <w:sz w:val="24"/>
                <w:szCs w:val="24"/>
              </w:rPr>
              <w:t xml:space="preserve">Indicated for at-risk patients; see </w:t>
            </w:r>
            <w:hyperlink r:id="rId5">
              <w:r>
                <w:rPr>
                  <w:rFonts w:ascii="Helvetica Neue" w:eastAsia="Helvetica Neue" w:hAnsi="Helvetica Neue" w:cs="Helvetica Neue"/>
                  <w:color w:val="1155CC"/>
                  <w:sz w:val="24"/>
                  <w:szCs w:val="24"/>
                  <w:u w:val="single"/>
                </w:rPr>
                <w:t>https://www.cdc.gov/poxvirus/monkeypox/vaccines/vaccine-basics.html</w:t>
              </w:r>
            </w:hyperlink>
          </w:p>
          <w:p w14:paraId="444AE81B" w14:textId="77777777" w:rsidR="00A73187" w:rsidRDefault="00A73187">
            <w:pPr>
              <w:pBdr>
                <w:top w:val="nil"/>
                <w:left w:val="nil"/>
                <w:bottom w:val="nil"/>
                <w:right w:val="nil"/>
                <w:between w:val="nil"/>
              </w:pBdr>
              <w:rPr>
                <w:rFonts w:ascii="Helvetica Neue" w:eastAsia="Helvetica Neue" w:hAnsi="Helvetica Neue" w:cs="Helvetica Neue"/>
                <w:sz w:val="24"/>
                <w:szCs w:val="24"/>
              </w:rPr>
            </w:pPr>
          </w:p>
        </w:tc>
      </w:tr>
      <w:tr w:rsidR="00CF3426" w14:paraId="39186B55" w14:textId="77777777" w:rsidTr="00094E8C">
        <w:trPr>
          <w:trHeight w:val="638"/>
        </w:trPr>
        <w:tc>
          <w:tcPr>
            <w:tcW w:w="5390" w:type="dxa"/>
            <w:shd w:val="clear" w:color="auto" w:fill="E5DFEC"/>
          </w:tcPr>
          <w:p w14:paraId="620A2A5C" w14:textId="3683624A" w:rsidR="00CF3426" w:rsidRDefault="00CF3426">
            <w:pPr>
              <w:pBdr>
                <w:top w:val="nil"/>
                <w:left w:val="nil"/>
                <w:bottom w:val="nil"/>
                <w:right w:val="nil"/>
                <w:between w:val="nil"/>
              </w:pBdr>
              <w:rPr>
                <w:rFonts w:ascii="Helvetica Neue" w:eastAsia="Helvetica Neue" w:hAnsi="Helvetica Neue" w:cs="Helvetica Neue"/>
                <w:b/>
                <w:sz w:val="24"/>
                <w:szCs w:val="24"/>
              </w:rPr>
            </w:pPr>
            <w:r>
              <w:rPr>
                <w:rFonts w:ascii="Helvetica Neue" w:eastAsia="Helvetica Neue" w:hAnsi="Helvetica Neue" w:cs="Helvetica Neue"/>
                <w:b/>
                <w:sz w:val="24"/>
                <w:szCs w:val="24"/>
              </w:rPr>
              <w:t>Shingles (Varicella Zoster)</w:t>
            </w:r>
          </w:p>
        </w:tc>
        <w:tc>
          <w:tcPr>
            <w:tcW w:w="9905" w:type="dxa"/>
            <w:shd w:val="clear" w:color="auto" w:fill="E5DFEC"/>
          </w:tcPr>
          <w:p w14:paraId="3B07E63C" w14:textId="1ACB68AA" w:rsidR="00CF3426" w:rsidRDefault="00CF3426">
            <w:pPr>
              <w:pBdr>
                <w:top w:val="nil"/>
                <w:left w:val="nil"/>
                <w:bottom w:val="nil"/>
                <w:right w:val="nil"/>
                <w:between w:val="nil"/>
              </w:pBdr>
              <w:rPr>
                <w:rFonts w:ascii="Helvetica Neue" w:eastAsia="Helvetica Neue" w:hAnsi="Helvetica Neue" w:cs="Helvetica Neue"/>
                <w:sz w:val="24"/>
                <w:szCs w:val="24"/>
              </w:rPr>
            </w:pPr>
            <w:r>
              <w:rPr>
                <w:rFonts w:ascii="Helvetica Neue" w:eastAsia="Helvetica Neue" w:hAnsi="Helvetica Neue" w:cs="Helvetica Neue"/>
                <w:sz w:val="24"/>
                <w:szCs w:val="24"/>
              </w:rPr>
              <w:t xml:space="preserve">Recommended </w:t>
            </w:r>
            <w:r w:rsidR="00A239F3">
              <w:rPr>
                <w:rFonts w:ascii="Helvetica Neue" w:eastAsia="Helvetica Neue" w:hAnsi="Helvetica Neue" w:cs="Helvetica Neue"/>
                <w:sz w:val="24"/>
                <w:szCs w:val="24"/>
              </w:rPr>
              <w:t xml:space="preserve">for </w:t>
            </w:r>
            <w:r>
              <w:rPr>
                <w:rFonts w:ascii="Helvetica Neue" w:eastAsia="Helvetica Neue" w:hAnsi="Helvetica Neue" w:cs="Helvetica Neue"/>
                <w:sz w:val="24"/>
                <w:szCs w:val="24"/>
              </w:rPr>
              <w:t>immunosuppressed</w:t>
            </w:r>
            <w:r w:rsidR="00A239F3">
              <w:rPr>
                <w:rFonts w:ascii="Helvetica Neue" w:eastAsia="Helvetica Neue" w:hAnsi="Helvetica Neue" w:cs="Helvetica Neue"/>
                <w:sz w:val="24"/>
                <w:szCs w:val="24"/>
              </w:rPr>
              <w:t xml:space="preserve"> (19 and above)</w:t>
            </w:r>
          </w:p>
        </w:tc>
      </w:tr>
      <w:tr w:rsidR="00A73187" w14:paraId="5D7DD4D2" w14:textId="77777777" w:rsidTr="00094E8C">
        <w:trPr>
          <w:trHeight w:val="985"/>
        </w:trPr>
        <w:tc>
          <w:tcPr>
            <w:tcW w:w="5390" w:type="dxa"/>
            <w:shd w:val="clear" w:color="auto" w:fill="E5DFEC"/>
          </w:tcPr>
          <w:p w14:paraId="786A3370" w14:textId="77777777" w:rsidR="00A73187" w:rsidRDefault="00A15C85">
            <w:pPr>
              <w:pBdr>
                <w:top w:val="nil"/>
                <w:left w:val="nil"/>
                <w:bottom w:val="nil"/>
                <w:right w:val="nil"/>
                <w:between w:val="nil"/>
              </w:pBdr>
              <w:rPr>
                <w:rFonts w:ascii="Helvetica Neue" w:eastAsia="Helvetica Neue" w:hAnsi="Helvetica Neue" w:cs="Helvetica Neue"/>
                <w:b/>
                <w:color w:val="000000"/>
                <w:sz w:val="24"/>
                <w:szCs w:val="24"/>
                <w:vertAlign w:val="superscript"/>
              </w:rPr>
            </w:pPr>
            <w:r>
              <w:rPr>
                <w:rFonts w:ascii="Helvetica Neue" w:eastAsia="Helvetica Neue" w:hAnsi="Helvetica Neue" w:cs="Helvetica Neue"/>
                <w:b/>
                <w:color w:val="000000"/>
                <w:sz w:val="24"/>
                <w:szCs w:val="24"/>
              </w:rPr>
              <w:t>Vaccines for travelers</w:t>
            </w:r>
            <w:r>
              <w:rPr>
                <w:rFonts w:ascii="Helvetica Neue" w:eastAsia="Helvetica Neue" w:hAnsi="Helvetica Neue" w:cs="Helvetica Neue"/>
                <w:b/>
                <w:color w:val="000000"/>
                <w:sz w:val="24"/>
                <w:szCs w:val="24"/>
                <w:vertAlign w:val="superscript"/>
              </w:rPr>
              <w:t>2</w:t>
            </w:r>
          </w:p>
        </w:tc>
        <w:tc>
          <w:tcPr>
            <w:tcW w:w="9905" w:type="dxa"/>
            <w:shd w:val="clear" w:color="auto" w:fill="E5DFEC"/>
          </w:tcPr>
          <w:p w14:paraId="1D443A50" w14:textId="73108DB2" w:rsidR="00A73187" w:rsidRDefault="004A1EF9">
            <w:pPr>
              <w:pBdr>
                <w:top w:val="nil"/>
                <w:left w:val="nil"/>
                <w:bottom w:val="nil"/>
                <w:right w:val="nil"/>
                <w:between w:val="nil"/>
              </w:pBdr>
              <w:rPr>
                <w:rFonts w:ascii="Helvetica Neue" w:eastAsia="Helvetica Neue" w:hAnsi="Helvetica Neue" w:cs="Helvetica Neue"/>
                <w:color w:val="000000"/>
                <w:sz w:val="24"/>
                <w:szCs w:val="24"/>
              </w:rPr>
            </w:pPr>
            <w:r>
              <w:rPr>
                <w:rFonts w:ascii="Helvetica Neue" w:eastAsia="Helvetica Neue" w:hAnsi="Helvetica Neue" w:cs="Helvetica Neue"/>
                <w:color w:val="000000"/>
                <w:sz w:val="24"/>
                <w:szCs w:val="24"/>
              </w:rPr>
              <w:t xml:space="preserve">Additional </w:t>
            </w:r>
            <w:hyperlink r:id="rId6" w:history="1">
              <w:r w:rsidRPr="00503A53">
                <w:rPr>
                  <w:rStyle w:val="Hyperlink"/>
                  <w:rFonts w:ascii="Helvetica Neue" w:eastAsia="Helvetica Neue" w:hAnsi="Helvetica Neue" w:cs="Helvetica Neue"/>
                  <w:sz w:val="24"/>
                  <w:szCs w:val="24"/>
                </w:rPr>
                <w:t>travel specific vaccines</w:t>
              </w:r>
            </w:hyperlink>
            <w:r>
              <w:rPr>
                <w:rFonts w:ascii="Helvetica Neue" w:eastAsia="Helvetica Neue" w:hAnsi="Helvetica Neue" w:cs="Helvetica Neue"/>
                <w:color w:val="000000"/>
                <w:sz w:val="24"/>
                <w:szCs w:val="24"/>
              </w:rPr>
              <w:t xml:space="preserve"> </w:t>
            </w:r>
            <w:r w:rsidR="00A15C85">
              <w:rPr>
                <w:rFonts w:ascii="Helvetica Neue" w:eastAsia="Helvetica Neue" w:hAnsi="Helvetica Neue" w:cs="Helvetica Neue"/>
                <w:color w:val="000000"/>
                <w:sz w:val="24"/>
                <w:szCs w:val="24"/>
              </w:rPr>
              <w:t>indicated by destinations/activities/outbreaks/medical issues</w:t>
            </w:r>
          </w:p>
        </w:tc>
      </w:tr>
    </w:tbl>
    <w:p w14:paraId="3F5A5A40" w14:textId="77777777" w:rsidR="00A73187" w:rsidRDefault="00A73187"/>
    <w:p w14:paraId="08451A8D" w14:textId="77777777" w:rsidR="00A73187" w:rsidRDefault="00A15C85">
      <w:pPr>
        <w:numPr>
          <w:ilvl w:val="0"/>
          <w:numId w:val="1"/>
        </w:numPr>
        <w:pBdr>
          <w:top w:val="nil"/>
          <w:left w:val="nil"/>
          <w:bottom w:val="nil"/>
          <w:right w:val="nil"/>
          <w:between w:val="nil"/>
        </w:pBdr>
        <w:spacing w:after="0"/>
        <w:rPr>
          <w:color w:val="000000"/>
          <w:sz w:val="16"/>
          <w:szCs w:val="16"/>
        </w:rPr>
      </w:pPr>
      <w:r>
        <w:rPr>
          <w:color w:val="000000"/>
          <w:sz w:val="16"/>
          <w:szCs w:val="16"/>
        </w:rPr>
        <w:t>Centers for Disease Control a</w:t>
      </w:r>
      <w:r>
        <w:rPr>
          <w:sz w:val="16"/>
          <w:szCs w:val="16"/>
        </w:rPr>
        <w:t xml:space="preserve">nd Prevention </w:t>
      </w:r>
      <w:r>
        <w:rPr>
          <w:color w:val="000000"/>
          <w:sz w:val="16"/>
          <w:szCs w:val="16"/>
        </w:rPr>
        <w:t xml:space="preserve"> (CDC). (2021a). Immunizations schedules. </w:t>
      </w:r>
      <w:hyperlink r:id="rId7">
        <w:r>
          <w:rPr>
            <w:color w:val="0000FF"/>
            <w:sz w:val="16"/>
            <w:szCs w:val="16"/>
            <w:u w:val="single"/>
          </w:rPr>
          <w:t>https://www.cdc.gov/vaccines/schedules/index.html</w:t>
        </w:r>
      </w:hyperlink>
      <w:r>
        <w:rPr>
          <w:color w:val="000000"/>
          <w:sz w:val="16"/>
          <w:szCs w:val="16"/>
        </w:rPr>
        <w:t xml:space="preserve">  </w:t>
      </w:r>
    </w:p>
    <w:p w14:paraId="5E1849C5" w14:textId="77777777" w:rsidR="00A73187" w:rsidRDefault="00A15C85">
      <w:pPr>
        <w:numPr>
          <w:ilvl w:val="0"/>
          <w:numId w:val="1"/>
        </w:numPr>
        <w:pBdr>
          <w:top w:val="nil"/>
          <w:left w:val="nil"/>
          <w:bottom w:val="nil"/>
          <w:right w:val="nil"/>
          <w:between w:val="nil"/>
        </w:pBdr>
        <w:rPr>
          <w:color w:val="000000"/>
          <w:sz w:val="16"/>
          <w:szCs w:val="16"/>
        </w:rPr>
      </w:pPr>
      <w:r>
        <w:rPr>
          <w:color w:val="000000"/>
          <w:sz w:val="16"/>
          <w:szCs w:val="16"/>
        </w:rPr>
        <w:t>Centers for Disease Control and Prevention (CDC). (2021b). Traveler’s health</w:t>
      </w:r>
      <w:hyperlink r:id="rId8">
        <w:r>
          <w:rPr>
            <w:color w:val="0000FF"/>
            <w:sz w:val="16"/>
            <w:szCs w:val="16"/>
            <w:u w:val="single"/>
          </w:rPr>
          <w:t>//wwwnc.cdc.gov/travel</w:t>
        </w:r>
      </w:hyperlink>
      <w:r>
        <w:rPr>
          <w:color w:val="000000"/>
          <w:sz w:val="16"/>
          <w:szCs w:val="16"/>
        </w:rPr>
        <w:t xml:space="preserve">. </w:t>
      </w:r>
    </w:p>
    <w:p w14:paraId="64D2ED65" w14:textId="77777777" w:rsidR="00A73187" w:rsidRDefault="00A73187">
      <w:pPr>
        <w:pBdr>
          <w:top w:val="nil"/>
          <w:left w:val="nil"/>
          <w:bottom w:val="nil"/>
          <w:right w:val="nil"/>
          <w:between w:val="nil"/>
        </w:pBdr>
        <w:rPr>
          <w:sz w:val="16"/>
          <w:szCs w:val="16"/>
        </w:rPr>
      </w:pPr>
    </w:p>
    <w:p w14:paraId="0AEA2BF0" w14:textId="77777777" w:rsidR="00A73187" w:rsidRDefault="00A73187">
      <w:pPr>
        <w:pBdr>
          <w:top w:val="nil"/>
          <w:left w:val="nil"/>
          <w:bottom w:val="nil"/>
          <w:right w:val="nil"/>
          <w:between w:val="nil"/>
        </w:pBdr>
        <w:rPr>
          <w:sz w:val="16"/>
          <w:szCs w:val="16"/>
        </w:rPr>
      </w:pPr>
    </w:p>
    <w:p w14:paraId="3E3A89F7" w14:textId="77777777" w:rsidR="00A73187" w:rsidRDefault="00A73187">
      <w:pPr>
        <w:pBdr>
          <w:top w:val="nil"/>
          <w:left w:val="nil"/>
          <w:bottom w:val="nil"/>
          <w:right w:val="nil"/>
          <w:between w:val="nil"/>
        </w:pBdr>
        <w:rPr>
          <w:sz w:val="16"/>
          <w:szCs w:val="16"/>
        </w:rPr>
      </w:pPr>
    </w:p>
    <w:p w14:paraId="3F1210B6" w14:textId="77777777" w:rsidR="00A73187" w:rsidRDefault="00A15C85">
      <w:pPr>
        <w:shd w:val="clear" w:color="auto" w:fill="403152"/>
        <w:spacing w:before="240" w:after="0"/>
        <w:jc w:val="center"/>
        <w:rPr>
          <w:rFonts w:ascii="Cambria" w:eastAsia="Cambria" w:hAnsi="Cambria" w:cs="Cambria"/>
          <w:b/>
          <w:color w:val="E5DFEC"/>
          <w:sz w:val="46"/>
          <w:szCs w:val="46"/>
        </w:rPr>
      </w:pPr>
      <w:r>
        <w:rPr>
          <w:rFonts w:ascii="Cambria" w:eastAsia="Cambria" w:hAnsi="Cambria" w:cs="Cambria"/>
          <w:b/>
          <w:color w:val="E5DFEC"/>
          <w:sz w:val="46"/>
          <w:szCs w:val="46"/>
        </w:rPr>
        <w:t xml:space="preserve">What are your priorities? </w:t>
      </w:r>
    </w:p>
    <w:p w14:paraId="3317E192" w14:textId="77777777" w:rsidR="00A73187" w:rsidRDefault="00A15C85">
      <w:pPr>
        <w:pBdr>
          <w:top w:val="nil"/>
          <w:left w:val="nil"/>
          <w:bottom w:val="nil"/>
          <w:right w:val="nil"/>
          <w:between w:val="nil"/>
        </w:pBdr>
        <w:shd w:val="clear" w:color="auto" w:fill="E5DFEC"/>
        <w:tabs>
          <w:tab w:val="left" w:pos="7080"/>
        </w:tabs>
        <w:spacing w:after="0"/>
        <w:rPr>
          <w:color w:val="000000"/>
          <w:sz w:val="40"/>
          <w:szCs w:val="40"/>
        </w:rPr>
      </w:pPr>
      <w:r>
        <w:rPr>
          <w:sz w:val="40"/>
          <w:szCs w:val="40"/>
        </w:rPr>
        <w:t>Effectiveness?</w:t>
      </w:r>
    </w:p>
    <w:p w14:paraId="36357482" w14:textId="77777777" w:rsidR="00A73187" w:rsidRDefault="00A15C85">
      <w:pPr>
        <w:numPr>
          <w:ilvl w:val="0"/>
          <w:numId w:val="2"/>
        </w:numPr>
        <w:pBdr>
          <w:top w:val="nil"/>
          <w:left w:val="nil"/>
          <w:bottom w:val="nil"/>
          <w:right w:val="nil"/>
          <w:between w:val="nil"/>
        </w:pBdr>
        <w:shd w:val="clear" w:color="auto" w:fill="E5DFEC"/>
        <w:tabs>
          <w:tab w:val="left" w:pos="7080"/>
        </w:tabs>
        <w:spacing w:after="0"/>
        <w:rPr>
          <w:color w:val="000000"/>
          <w:sz w:val="24"/>
          <w:szCs w:val="24"/>
        </w:rPr>
      </w:pPr>
      <w:r>
        <w:rPr>
          <w:color w:val="000000"/>
          <w:sz w:val="24"/>
          <w:szCs w:val="24"/>
        </w:rPr>
        <w:t>Vaccines keep you healthy so you can achieve your goals for school, work, vacations, and sports activities</w:t>
      </w:r>
    </w:p>
    <w:p w14:paraId="3BC36A3B" w14:textId="77777777" w:rsidR="00A73187" w:rsidRDefault="00A15C85">
      <w:pPr>
        <w:numPr>
          <w:ilvl w:val="0"/>
          <w:numId w:val="2"/>
        </w:numPr>
        <w:pBdr>
          <w:top w:val="nil"/>
          <w:left w:val="nil"/>
          <w:bottom w:val="nil"/>
          <w:right w:val="nil"/>
          <w:between w:val="nil"/>
        </w:pBdr>
        <w:shd w:val="clear" w:color="auto" w:fill="E5DFEC"/>
        <w:tabs>
          <w:tab w:val="left" w:pos="7080"/>
        </w:tabs>
        <w:spacing w:after="0"/>
        <w:rPr>
          <w:color w:val="000000"/>
          <w:sz w:val="24"/>
          <w:szCs w:val="24"/>
        </w:rPr>
      </w:pPr>
      <w:r>
        <w:rPr>
          <w:color w:val="000000"/>
          <w:sz w:val="24"/>
          <w:szCs w:val="24"/>
        </w:rPr>
        <w:t>Adults are at risk: most hospitalizations, disabilities, and deaths from vaccine-preventable deaths are in adults</w:t>
      </w:r>
      <w:r>
        <w:rPr>
          <w:color w:val="000000"/>
          <w:sz w:val="24"/>
          <w:szCs w:val="24"/>
          <w:vertAlign w:val="superscript"/>
        </w:rPr>
        <w:t xml:space="preserve">3.  </w:t>
      </w:r>
      <w:r>
        <w:rPr>
          <w:color w:val="000000"/>
          <w:sz w:val="24"/>
          <w:szCs w:val="24"/>
        </w:rPr>
        <w:t>If you have asthma, a pneumococcal vaccine can help prevent pneumonia – up until age 65.</w:t>
      </w:r>
    </w:p>
    <w:p w14:paraId="52CF2C74" w14:textId="77777777" w:rsidR="00A73187" w:rsidRDefault="00A15C85">
      <w:pPr>
        <w:numPr>
          <w:ilvl w:val="0"/>
          <w:numId w:val="2"/>
        </w:numPr>
        <w:pBdr>
          <w:top w:val="nil"/>
          <w:left w:val="nil"/>
          <w:bottom w:val="nil"/>
          <w:right w:val="nil"/>
          <w:between w:val="nil"/>
        </w:pBdr>
        <w:shd w:val="clear" w:color="auto" w:fill="E5DFEC"/>
        <w:tabs>
          <w:tab w:val="left" w:pos="7080"/>
        </w:tabs>
        <w:spacing w:after="0"/>
        <w:rPr>
          <w:color w:val="000000"/>
          <w:sz w:val="24"/>
          <w:szCs w:val="24"/>
        </w:rPr>
      </w:pPr>
      <w:r>
        <w:rPr>
          <w:color w:val="000000"/>
          <w:sz w:val="24"/>
          <w:szCs w:val="24"/>
        </w:rPr>
        <w:t>Vaccines protect pregnant women and their babies. Influenza and Tdap prevent complications from flu and pertussis (whooping cough), including pre-term labor and hospitalization</w:t>
      </w:r>
      <w:r>
        <w:rPr>
          <w:color w:val="000000"/>
          <w:sz w:val="24"/>
          <w:szCs w:val="24"/>
          <w:vertAlign w:val="superscript"/>
        </w:rPr>
        <w:t>3</w:t>
      </w:r>
    </w:p>
    <w:p w14:paraId="70E941DE" w14:textId="77777777" w:rsidR="00A73187" w:rsidRDefault="00A15C85">
      <w:pPr>
        <w:numPr>
          <w:ilvl w:val="0"/>
          <w:numId w:val="2"/>
        </w:numPr>
        <w:pBdr>
          <w:top w:val="nil"/>
          <w:left w:val="nil"/>
          <w:bottom w:val="nil"/>
          <w:right w:val="nil"/>
          <w:between w:val="nil"/>
        </w:pBdr>
        <w:shd w:val="clear" w:color="auto" w:fill="E5DFEC"/>
        <w:tabs>
          <w:tab w:val="left" w:pos="7080"/>
        </w:tabs>
        <w:spacing w:after="0"/>
        <w:rPr>
          <w:color w:val="000000"/>
          <w:sz w:val="24"/>
          <w:szCs w:val="24"/>
        </w:rPr>
      </w:pPr>
      <w:r>
        <w:rPr>
          <w:color w:val="000000"/>
          <w:sz w:val="24"/>
          <w:szCs w:val="24"/>
        </w:rPr>
        <w:t>Sure, the HPV vaccine protects against cervical cancer and genital warts, but did you know it helps prevent many other types of cancer (penis, vagina, anus, cancer at the base of the tongue/tonsils)?⁴</w:t>
      </w:r>
    </w:p>
    <w:p w14:paraId="3F90D8C9" w14:textId="77777777" w:rsidR="00A73187" w:rsidRDefault="00A15C85">
      <w:pPr>
        <w:pBdr>
          <w:top w:val="nil"/>
          <w:left w:val="nil"/>
          <w:bottom w:val="nil"/>
          <w:right w:val="nil"/>
          <w:between w:val="nil"/>
        </w:pBdr>
        <w:shd w:val="clear" w:color="auto" w:fill="E5DFEC"/>
        <w:tabs>
          <w:tab w:val="left" w:pos="7080"/>
        </w:tabs>
        <w:spacing w:after="0"/>
        <w:rPr>
          <w:sz w:val="40"/>
          <w:szCs w:val="40"/>
        </w:rPr>
      </w:pPr>
      <w:r>
        <w:rPr>
          <w:sz w:val="24"/>
          <w:szCs w:val="24"/>
        </w:rPr>
        <w:lastRenderedPageBreak/>
        <w:t xml:space="preserve"> </w:t>
      </w:r>
      <w:r>
        <w:rPr>
          <w:sz w:val="40"/>
          <w:szCs w:val="40"/>
        </w:rPr>
        <w:t>Safety?</w:t>
      </w:r>
    </w:p>
    <w:p w14:paraId="32D969AB" w14:textId="77777777" w:rsidR="00A73187" w:rsidRDefault="00A15C85">
      <w:pPr>
        <w:numPr>
          <w:ilvl w:val="0"/>
          <w:numId w:val="2"/>
        </w:numPr>
        <w:pBdr>
          <w:top w:val="nil"/>
          <w:left w:val="nil"/>
          <w:bottom w:val="nil"/>
          <w:right w:val="nil"/>
          <w:between w:val="nil"/>
        </w:pBdr>
        <w:shd w:val="clear" w:color="auto" w:fill="E5DFEC"/>
        <w:tabs>
          <w:tab w:val="left" w:pos="7080"/>
        </w:tabs>
        <w:spacing w:after="0"/>
        <w:rPr>
          <w:color w:val="000000"/>
          <w:sz w:val="24"/>
          <w:szCs w:val="24"/>
        </w:rPr>
      </w:pPr>
      <w:r>
        <w:rPr>
          <w:color w:val="000000"/>
          <w:sz w:val="24"/>
          <w:szCs w:val="24"/>
        </w:rPr>
        <w:t>The FDA, CDC, and other agencies monitor vaccine development at all stages, the law mandates rigorous safety protocols, and ongoing surveillance takes place after vaccine approval</w:t>
      </w:r>
      <w:r>
        <w:rPr>
          <w:color w:val="000000"/>
          <w:sz w:val="24"/>
          <w:szCs w:val="24"/>
          <w:vertAlign w:val="superscript"/>
        </w:rPr>
        <w:t>5</w:t>
      </w:r>
    </w:p>
    <w:p w14:paraId="59B78602" w14:textId="77777777" w:rsidR="00A73187" w:rsidRDefault="00A15C85">
      <w:pPr>
        <w:numPr>
          <w:ilvl w:val="0"/>
          <w:numId w:val="2"/>
        </w:numPr>
        <w:pBdr>
          <w:top w:val="nil"/>
          <w:left w:val="nil"/>
          <w:bottom w:val="nil"/>
          <w:right w:val="nil"/>
          <w:between w:val="nil"/>
        </w:pBdr>
        <w:shd w:val="clear" w:color="auto" w:fill="E5DFEC"/>
        <w:tabs>
          <w:tab w:val="left" w:pos="7080"/>
        </w:tabs>
        <w:spacing w:after="0"/>
        <w:rPr>
          <w:color w:val="000000"/>
          <w:sz w:val="24"/>
          <w:szCs w:val="24"/>
        </w:rPr>
      </w:pPr>
      <w:r>
        <w:rPr>
          <w:color w:val="000000"/>
          <w:sz w:val="24"/>
          <w:szCs w:val="24"/>
        </w:rPr>
        <w:t>Common side effects include pain, redness, swelling at the injection site, a low-grade fever, headache, body aches, chills. Some people also faint – so we have them lie down. Serious side effects are rare</w:t>
      </w:r>
      <w:r>
        <w:rPr>
          <w:sz w:val="24"/>
          <w:szCs w:val="24"/>
          <w:vertAlign w:val="superscript"/>
        </w:rPr>
        <w:t>6</w:t>
      </w:r>
      <w:r>
        <w:rPr>
          <w:color w:val="000000"/>
          <w:sz w:val="24"/>
          <w:szCs w:val="24"/>
        </w:rPr>
        <w:t>.</w:t>
      </w:r>
    </w:p>
    <w:p w14:paraId="709CE01A" w14:textId="77777777" w:rsidR="00A73187" w:rsidRDefault="00A15C85">
      <w:pPr>
        <w:pBdr>
          <w:top w:val="nil"/>
          <w:left w:val="nil"/>
          <w:bottom w:val="nil"/>
          <w:right w:val="nil"/>
          <w:between w:val="nil"/>
        </w:pBdr>
        <w:shd w:val="clear" w:color="auto" w:fill="E5DFEC"/>
        <w:tabs>
          <w:tab w:val="left" w:pos="7080"/>
        </w:tabs>
        <w:spacing w:after="0"/>
        <w:rPr>
          <w:sz w:val="40"/>
          <w:szCs w:val="40"/>
        </w:rPr>
      </w:pPr>
      <w:r>
        <w:rPr>
          <w:sz w:val="40"/>
          <w:szCs w:val="40"/>
        </w:rPr>
        <w:t>Cost?</w:t>
      </w:r>
    </w:p>
    <w:p w14:paraId="4D4E3C6E" w14:textId="7834A378" w:rsidR="00A73187" w:rsidRDefault="00A15C85">
      <w:pPr>
        <w:numPr>
          <w:ilvl w:val="0"/>
          <w:numId w:val="2"/>
        </w:numPr>
        <w:pBdr>
          <w:top w:val="nil"/>
          <w:left w:val="nil"/>
          <w:bottom w:val="nil"/>
          <w:right w:val="nil"/>
          <w:between w:val="nil"/>
        </w:pBdr>
        <w:shd w:val="clear" w:color="auto" w:fill="E5DFEC"/>
        <w:tabs>
          <w:tab w:val="left" w:pos="7080"/>
        </w:tabs>
        <w:spacing w:after="0"/>
        <w:rPr>
          <w:color w:val="000000"/>
          <w:sz w:val="24"/>
          <w:szCs w:val="24"/>
        </w:rPr>
      </w:pPr>
      <w:r>
        <w:rPr>
          <w:color w:val="000000"/>
          <w:sz w:val="24"/>
          <w:szCs w:val="24"/>
        </w:rPr>
        <w:t>Currently, the Affordable Care Act covers the cost of routine vaccines; travel vaccines are often not covered by insurance</w:t>
      </w:r>
      <w:r w:rsidR="00D0100C">
        <w:rPr>
          <w:color w:val="000000"/>
          <w:sz w:val="24"/>
          <w:szCs w:val="24"/>
        </w:rPr>
        <w:t xml:space="preserve"> but </w:t>
      </w:r>
      <w:r w:rsidR="00D0100C" w:rsidRPr="00D0100C">
        <w:rPr>
          <w:b/>
          <w:bCs/>
          <w:color w:val="FF0000"/>
          <w:sz w:val="24"/>
          <w:szCs w:val="24"/>
        </w:rPr>
        <w:t>are currently covered for students with Cardinal Care</w:t>
      </w:r>
      <w:r w:rsidR="00D0100C">
        <w:rPr>
          <w:color w:val="000000"/>
          <w:sz w:val="24"/>
          <w:szCs w:val="24"/>
        </w:rPr>
        <w:t>.</w:t>
      </w:r>
      <w:r>
        <w:rPr>
          <w:color w:val="000000"/>
          <w:sz w:val="24"/>
          <w:szCs w:val="24"/>
        </w:rPr>
        <w:t xml:space="preserve"> The financial cost of illness from typhoid fever or other serious travel illnesses can reach thousands,  and the personal costs are even greater. If you have upcoming</w:t>
      </w:r>
      <w:r>
        <w:rPr>
          <w:sz w:val="24"/>
          <w:szCs w:val="24"/>
        </w:rPr>
        <w:t xml:space="preserve"> international </w:t>
      </w:r>
      <w:r>
        <w:rPr>
          <w:color w:val="000000"/>
          <w:sz w:val="24"/>
          <w:szCs w:val="24"/>
        </w:rPr>
        <w:t>travel, schedule a Travel Clinic visit today. Ideally, you want a pre-travel consultation at least six weeks before the trip.</w:t>
      </w:r>
    </w:p>
    <w:p w14:paraId="4D7132E2" w14:textId="650F95F9" w:rsidR="00A73187" w:rsidRDefault="00A15C85">
      <w:pPr>
        <w:numPr>
          <w:ilvl w:val="0"/>
          <w:numId w:val="2"/>
        </w:numPr>
        <w:pBdr>
          <w:top w:val="nil"/>
          <w:left w:val="nil"/>
          <w:bottom w:val="nil"/>
          <w:right w:val="nil"/>
          <w:between w:val="nil"/>
        </w:pBdr>
        <w:shd w:val="clear" w:color="auto" w:fill="E5DFEC"/>
        <w:tabs>
          <w:tab w:val="left" w:pos="7080"/>
        </w:tabs>
        <w:spacing w:after="0"/>
        <w:rPr>
          <w:color w:val="000000"/>
          <w:sz w:val="24"/>
          <w:szCs w:val="24"/>
        </w:rPr>
      </w:pPr>
      <w:r>
        <w:rPr>
          <w:color w:val="000000"/>
          <w:sz w:val="24"/>
          <w:szCs w:val="24"/>
        </w:rPr>
        <w:t xml:space="preserve">You can have a free flu shot here today. If you have Cardinal Care, you can get your other routine vaccines here in the Allergy and Immunization Clinic – you can schedule that today. </w:t>
      </w:r>
      <w:r>
        <w:rPr>
          <w:b/>
          <w:color w:val="FF0000"/>
          <w:sz w:val="24"/>
          <w:szCs w:val="24"/>
        </w:rPr>
        <w:t xml:space="preserve">If you have outside insurance, the vaccines </w:t>
      </w:r>
      <w:r w:rsidR="00D0100C">
        <w:rPr>
          <w:b/>
          <w:color w:val="FF0000"/>
          <w:sz w:val="24"/>
          <w:szCs w:val="24"/>
        </w:rPr>
        <w:t xml:space="preserve">are likely </w:t>
      </w:r>
      <w:r>
        <w:rPr>
          <w:b/>
          <w:color w:val="FF0000"/>
          <w:sz w:val="24"/>
          <w:szCs w:val="24"/>
        </w:rPr>
        <w:t>covered but not at Vaden. Contact your insurance provider; they will usually refer you to any local drug store such as Walgreens or CVS.</w:t>
      </w:r>
      <w:r w:rsidR="00D0100C">
        <w:rPr>
          <w:b/>
          <w:color w:val="FF0000"/>
          <w:sz w:val="24"/>
          <w:szCs w:val="24"/>
        </w:rPr>
        <w:t xml:space="preserve"> Students with Kaiser should get all their vaccines there as routine and travel vaccines are covered.</w:t>
      </w:r>
    </w:p>
    <w:p w14:paraId="0AB9E9A9" w14:textId="77777777" w:rsidR="00A73187" w:rsidRDefault="00A73187">
      <w:pPr>
        <w:pBdr>
          <w:top w:val="nil"/>
          <w:left w:val="nil"/>
          <w:bottom w:val="nil"/>
          <w:right w:val="nil"/>
          <w:between w:val="nil"/>
        </w:pBdr>
        <w:shd w:val="clear" w:color="auto" w:fill="FFFFFF"/>
        <w:tabs>
          <w:tab w:val="left" w:pos="7080"/>
        </w:tabs>
        <w:spacing w:after="0"/>
        <w:ind w:left="1440"/>
        <w:rPr>
          <w:color w:val="000000"/>
          <w:sz w:val="20"/>
          <w:szCs w:val="20"/>
        </w:rPr>
      </w:pPr>
    </w:p>
    <w:p w14:paraId="1945BEE8" w14:textId="77777777" w:rsidR="00A73187" w:rsidRDefault="00A15C85">
      <w:pPr>
        <w:pBdr>
          <w:top w:val="nil"/>
          <w:left w:val="nil"/>
          <w:bottom w:val="nil"/>
          <w:right w:val="nil"/>
          <w:between w:val="nil"/>
        </w:pBdr>
        <w:tabs>
          <w:tab w:val="left" w:pos="1116"/>
          <w:tab w:val="left" w:pos="1152"/>
        </w:tabs>
        <w:spacing w:after="0"/>
        <w:rPr>
          <w:i/>
          <w:color w:val="5F497A"/>
          <w:sz w:val="36"/>
          <w:szCs w:val="36"/>
        </w:rPr>
      </w:pPr>
      <w:r>
        <w:rPr>
          <w:i/>
          <w:color w:val="5F497A"/>
          <w:sz w:val="36"/>
          <w:szCs w:val="36"/>
        </w:rPr>
        <w:t>Do you have further questions? See your clinician.</w:t>
      </w:r>
    </w:p>
    <w:p w14:paraId="23B97AD6" w14:textId="77777777" w:rsidR="00A73187" w:rsidRDefault="00A73187">
      <w:pPr>
        <w:pBdr>
          <w:top w:val="nil"/>
          <w:left w:val="nil"/>
          <w:bottom w:val="nil"/>
          <w:right w:val="nil"/>
          <w:between w:val="nil"/>
        </w:pBdr>
        <w:tabs>
          <w:tab w:val="left" w:pos="7080"/>
        </w:tabs>
        <w:spacing w:after="0"/>
        <w:rPr>
          <w:i/>
          <w:color w:val="5F497A"/>
          <w:sz w:val="16"/>
          <w:szCs w:val="16"/>
        </w:rPr>
      </w:pPr>
    </w:p>
    <w:p w14:paraId="1DAA3232" w14:textId="77777777" w:rsidR="00A73187" w:rsidRDefault="00A15C85">
      <w:pPr>
        <w:numPr>
          <w:ilvl w:val="0"/>
          <w:numId w:val="1"/>
        </w:numPr>
        <w:pBdr>
          <w:top w:val="nil"/>
          <w:left w:val="nil"/>
          <w:bottom w:val="nil"/>
          <w:right w:val="nil"/>
          <w:between w:val="nil"/>
        </w:pBdr>
        <w:spacing w:after="0" w:line="240" w:lineRule="auto"/>
        <w:rPr>
          <w:color w:val="000000"/>
          <w:sz w:val="16"/>
          <w:szCs w:val="16"/>
        </w:rPr>
      </w:pPr>
      <w:r>
        <w:rPr>
          <w:color w:val="000000"/>
          <w:sz w:val="16"/>
          <w:szCs w:val="16"/>
        </w:rPr>
        <w:t xml:space="preserve">Immunization Action Coalition (IAC). (2020a). Adult immunizations: The importance of staying up to date. </w:t>
      </w:r>
      <w:hyperlink r:id="rId9">
        <w:r>
          <w:rPr>
            <w:color w:val="1155CC"/>
            <w:sz w:val="16"/>
            <w:szCs w:val="16"/>
            <w:u w:val="single"/>
          </w:rPr>
          <w:t xml:space="preserve"> https://www immunize.org/catg.d/p4033.pdf</w:t>
        </w:r>
      </w:hyperlink>
    </w:p>
    <w:p w14:paraId="25546276" w14:textId="77777777" w:rsidR="00A73187" w:rsidRDefault="00A15C85">
      <w:pPr>
        <w:numPr>
          <w:ilvl w:val="0"/>
          <w:numId w:val="1"/>
        </w:numPr>
        <w:pBdr>
          <w:top w:val="nil"/>
          <w:left w:val="nil"/>
          <w:bottom w:val="nil"/>
          <w:right w:val="nil"/>
          <w:between w:val="nil"/>
        </w:pBdr>
        <w:spacing w:after="0" w:line="240" w:lineRule="auto"/>
        <w:rPr>
          <w:color w:val="000000"/>
          <w:sz w:val="16"/>
          <w:szCs w:val="16"/>
        </w:rPr>
      </w:pPr>
      <w:r>
        <w:rPr>
          <w:color w:val="000000"/>
          <w:sz w:val="16"/>
          <w:szCs w:val="16"/>
        </w:rPr>
        <w:t xml:space="preserve">Immunization Action Coalition (IAC). (2020b). HPV Vaccine: A guide for adults ages 18-26 years. </w:t>
      </w:r>
      <w:hyperlink r:id="rId10">
        <w:r>
          <w:rPr>
            <w:color w:val="0000FF"/>
            <w:sz w:val="16"/>
            <w:szCs w:val="16"/>
            <w:u w:val="single"/>
          </w:rPr>
          <w:t>https://www.immunize.org/catg.d/p4251.pdf</w:t>
        </w:r>
      </w:hyperlink>
    </w:p>
    <w:p w14:paraId="3152087C" w14:textId="77777777" w:rsidR="00A73187" w:rsidRDefault="00A15C85">
      <w:pPr>
        <w:widowControl w:val="0"/>
        <w:numPr>
          <w:ilvl w:val="0"/>
          <w:numId w:val="1"/>
        </w:numPr>
        <w:pBdr>
          <w:top w:val="nil"/>
          <w:left w:val="nil"/>
          <w:bottom w:val="nil"/>
          <w:right w:val="nil"/>
          <w:between w:val="nil"/>
        </w:pBdr>
        <w:spacing w:after="0" w:line="240" w:lineRule="auto"/>
        <w:rPr>
          <w:color w:val="000000"/>
          <w:sz w:val="16"/>
          <w:szCs w:val="16"/>
        </w:rPr>
      </w:pPr>
      <w:r>
        <w:rPr>
          <w:color w:val="000000"/>
          <w:sz w:val="16"/>
          <w:szCs w:val="16"/>
        </w:rPr>
        <w:t xml:space="preserve">US Department of Health and Human Services (HHS). (2021a). Vaccine safety. </w:t>
      </w:r>
      <w:hyperlink r:id="rId11">
        <w:r>
          <w:rPr>
            <w:color w:val="0000FF"/>
            <w:sz w:val="16"/>
            <w:szCs w:val="16"/>
            <w:u w:val="single"/>
          </w:rPr>
          <w:t>https://www.hhs.gov/immunization/basics/safety/index.html</w:t>
        </w:r>
      </w:hyperlink>
    </w:p>
    <w:p w14:paraId="331C38B1" w14:textId="77777777" w:rsidR="00A73187" w:rsidRDefault="00A15C85">
      <w:pPr>
        <w:widowControl w:val="0"/>
        <w:numPr>
          <w:ilvl w:val="0"/>
          <w:numId w:val="1"/>
        </w:numPr>
        <w:pBdr>
          <w:top w:val="nil"/>
          <w:left w:val="nil"/>
          <w:bottom w:val="nil"/>
          <w:right w:val="nil"/>
          <w:between w:val="nil"/>
        </w:pBdr>
        <w:spacing w:after="0" w:line="240" w:lineRule="auto"/>
        <w:rPr>
          <w:color w:val="000000"/>
          <w:sz w:val="16"/>
          <w:szCs w:val="16"/>
        </w:rPr>
      </w:pPr>
      <w:r>
        <w:rPr>
          <w:color w:val="000000"/>
          <w:sz w:val="16"/>
          <w:szCs w:val="16"/>
        </w:rPr>
        <w:t xml:space="preserve">US Department of Health and Human Services (HHS). (2021b). Vaccine side effects. </w:t>
      </w:r>
      <w:hyperlink r:id="rId12">
        <w:r>
          <w:rPr>
            <w:color w:val="0000FF"/>
            <w:sz w:val="16"/>
            <w:szCs w:val="16"/>
            <w:u w:val="single"/>
          </w:rPr>
          <w:t>https://www.hhs.gov/immunization/basics/safety/side-effects/index.html</w:t>
        </w:r>
      </w:hyperlink>
    </w:p>
    <w:p w14:paraId="5CB7A841" w14:textId="77777777" w:rsidR="00A73187" w:rsidRDefault="00A73187">
      <w:pPr>
        <w:widowControl w:val="0"/>
        <w:spacing w:before="240" w:after="240" w:line="240" w:lineRule="auto"/>
        <w:rPr>
          <w:sz w:val="28"/>
          <w:szCs w:val="28"/>
        </w:rPr>
      </w:pPr>
    </w:p>
    <w:sectPr w:rsidR="00A73187" w:rsidSect="00DC0FBA">
      <w:pgSz w:w="15840" w:h="12240" w:orient="landscape"/>
      <w:pgMar w:top="720" w:right="288" w:bottom="720" w:left="288" w:header="720" w:footer="720" w:gutter="0"/>
      <w:pgNumType w:start="1"/>
      <w:cols w:space="720"/>
      <w:docGrid w:linePitch="28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Helvetica Neue">
    <w:altName w:val="Arial"/>
    <w:charset w:val="00"/>
    <w:family w:val="auto"/>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5AC1E95"/>
    <w:multiLevelType w:val="multilevel"/>
    <w:tmpl w:val="F6D2626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33C66591"/>
    <w:multiLevelType w:val="multilevel"/>
    <w:tmpl w:val="866A2334"/>
    <w:lvl w:ilvl="0">
      <w:start w:val="1"/>
      <w:numFmt w:val="bullet"/>
      <w:lvlText w:val="❖"/>
      <w:lvlJc w:val="left"/>
      <w:pPr>
        <w:ind w:left="1440" w:hanging="360"/>
      </w:pPr>
      <w:rPr>
        <w:rFonts w:ascii="Noto Sans Symbols" w:eastAsia="Noto Sans Symbols" w:hAnsi="Noto Sans Symbols" w:cs="Noto Sans Symbols"/>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num w:numId="1" w16cid:durableId="2059820903">
    <w:abstractNumId w:val="0"/>
  </w:num>
  <w:num w:numId="2" w16cid:durableId="41714226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MDM1tjQwsDQ0Mja3MDVX0lEKTi0uzszPAykwrgUA6zvMqiwAAAA="/>
  </w:docVars>
  <w:rsids>
    <w:rsidRoot w:val="00A73187"/>
    <w:rsid w:val="00094E8C"/>
    <w:rsid w:val="000B4A5D"/>
    <w:rsid w:val="003446D4"/>
    <w:rsid w:val="004A1EF9"/>
    <w:rsid w:val="004D04A3"/>
    <w:rsid w:val="00503A53"/>
    <w:rsid w:val="00533D3D"/>
    <w:rsid w:val="005E5ABD"/>
    <w:rsid w:val="00A15C85"/>
    <w:rsid w:val="00A239F3"/>
    <w:rsid w:val="00A73187"/>
    <w:rsid w:val="00B95D08"/>
    <w:rsid w:val="00C54E63"/>
    <w:rsid w:val="00C91C95"/>
    <w:rsid w:val="00CF3426"/>
    <w:rsid w:val="00D0100C"/>
    <w:rsid w:val="00DC0FB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9930453"/>
  <w15:docId w15:val="{093F4461-D90A-41FC-8BB3-424A0E6514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sz w:val="21"/>
        <w:szCs w:val="21"/>
        <w:lang w:val="en-US" w:eastAsia="en-US"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pBdr>
        <w:bottom w:val="single" w:sz="4" w:space="2" w:color="C0504D"/>
      </w:pBdr>
      <w:spacing w:before="360" w:after="120" w:line="240" w:lineRule="auto"/>
      <w:outlineLvl w:val="0"/>
    </w:pPr>
    <w:rPr>
      <w:rFonts w:ascii="Cambria" w:eastAsia="Cambria" w:hAnsi="Cambria" w:cs="Cambria"/>
      <w:color w:val="262626"/>
      <w:sz w:val="40"/>
      <w:szCs w:val="40"/>
    </w:rPr>
  </w:style>
  <w:style w:type="paragraph" w:styleId="Heading2">
    <w:name w:val="heading 2"/>
    <w:basedOn w:val="Normal"/>
    <w:next w:val="Normal"/>
    <w:uiPriority w:val="9"/>
    <w:semiHidden/>
    <w:unhideWhenUsed/>
    <w:qFormat/>
    <w:pPr>
      <w:keepNext/>
      <w:keepLines/>
      <w:spacing w:before="120" w:after="0" w:line="240" w:lineRule="auto"/>
      <w:outlineLvl w:val="1"/>
    </w:pPr>
    <w:rPr>
      <w:rFonts w:ascii="Cambria" w:eastAsia="Cambria" w:hAnsi="Cambria" w:cs="Cambria"/>
      <w:color w:val="C0504D"/>
      <w:sz w:val="36"/>
      <w:szCs w:val="36"/>
    </w:rPr>
  </w:style>
  <w:style w:type="paragraph" w:styleId="Heading3">
    <w:name w:val="heading 3"/>
    <w:basedOn w:val="Normal"/>
    <w:next w:val="Normal"/>
    <w:uiPriority w:val="9"/>
    <w:semiHidden/>
    <w:unhideWhenUsed/>
    <w:qFormat/>
    <w:pPr>
      <w:keepNext/>
      <w:keepLines/>
      <w:spacing w:before="80" w:after="0" w:line="240" w:lineRule="auto"/>
      <w:outlineLvl w:val="2"/>
    </w:pPr>
    <w:rPr>
      <w:rFonts w:ascii="Cambria" w:eastAsia="Cambria" w:hAnsi="Cambria" w:cs="Cambria"/>
      <w:color w:val="943734"/>
      <w:sz w:val="32"/>
      <w:szCs w:val="32"/>
    </w:rPr>
  </w:style>
  <w:style w:type="paragraph" w:styleId="Heading4">
    <w:name w:val="heading 4"/>
    <w:basedOn w:val="Normal"/>
    <w:next w:val="Normal"/>
    <w:uiPriority w:val="9"/>
    <w:semiHidden/>
    <w:unhideWhenUsed/>
    <w:qFormat/>
    <w:pPr>
      <w:keepNext/>
      <w:keepLines/>
      <w:spacing w:before="80" w:after="0" w:line="240" w:lineRule="auto"/>
      <w:outlineLvl w:val="3"/>
    </w:pPr>
    <w:rPr>
      <w:rFonts w:ascii="Cambria" w:eastAsia="Cambria" w:hAnsi="Cambria" w:cs="Cambria"/>
      <w:i/>
      <w:color w:val="632423"/>
      <w:sz w:val="28"/>
      <w:szCs w:val="28"/>
    </w:rPr>
  </w:style>
  <w:style w:type="paragraph" w:styleId="Heading5">
    <w:name w:val="heading 5"/>
    <w:basedOn w:val="Normal"/>
    <w:next w:val="Normal"/>
    <w:uiPriority w:val="9"/>
    <w:semiHidden/>
    <w:unhideWhenUsed/>
    <w:qFormat/>
    <w:pPr>
      <w:keepNext/>
      <w:keepLines/>
      <w:spacing w:before="80" w:after="0" w:line="240" w:lineRule="auto"/>
      <w:outlineLvl w:val="4"/>
    </w:pPr>
    <w:rPr>
      <w:rFonts w:ascii="Cambria" w:eastAsia="Cambria" w:hAnsi="Cambria" w:cs="Cambria"/>
      <w:color w:val="943734"/>
      <w:sz w:val="24"/>
      <w:szCs w:val="24"/>
    </w:rPr>
  </w:style>
  <w:style w:type="paragraph" w:styleId="Heading6">
    <w:name w:val="heading 6"/>
    <w:basedOn w:val="Normal"/>
    <w:next w:val="Normal"/>
    <w:uiPriority w:val="9"/>
    <w:semiHidden/>
    <w:unhideWhenUsed/>
    <w:qFormat/>
    <w:pPr>
      <w:keepNext/>
      <w:keepLines/>
      <w:spacing w:before="80" w:after="0" w:line="240" w:lineRule="auto"/>
      <w:outlineLvl w:val="5"/>
    </w:pPr>
    <w:rPr>
      <w:rFonts w:ascii="Cambria" w:eastAsia="Cambria" w:hAnsi="Cambria" w:cs="Cambria"/>
      <w:i/>
      <w:color w:val="632423"/>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spacing w:after="0" w:line="240" w:lineRule="auto"/>
    </w:pPr>
    <w:rPr>
      <w:rFonts w:ascii="Cambria" w:eastAsia="Cambria" w:hAnsi="Cambria" w:cs="Cambria"/>
      <w:color w:val="262626"/>
      <w:sz w:val="96"/>
      <w:szCs w:val="96"/>
    </w:rPr>
  </w:style>
  <w:style w:type="paragraph" w:styleId="Subtitle">
    <w:name w:val="Subtitle"/>
    <w:basedOn w:val="Normal"/>
    <w:next w:val="Normal"/>
    <w:uiPriority w:val="11"/>
    <w:qFormat/>
    <w:pPr>
      <w:spacing w:after="240"/>
    </w:pPr>
    <w:rPr>
      <w:smallCaps/>
      <w:color w:val="404040"/>
      <w:sz w:val="28"/>
      <w:szCs w:val="28"/>
    </w:rPr>
  </w:style>
  <w:style w:type="table" w:customStyle="1" w:styleId="a">
    <w:basedOn w:val="TableNormal"/>
    <w:pPr>
      <w:spacing w:after="0" w:line="240" w:lineRule="auto"/>
    </w:pPr>
    <w:tblPr>
      <w:tblStyleRowBandSize w:val="1"/>
      <w:tblStyleColBandSize w:val="1"/>
    </w:tblPr>
  </w:style>
  <w:style w:type="table" w:customStyle="1" w:styleId="a0">
    <w:basedOn w:val="TableNormal"/>
    <w:pPr>
      <w:spacing w:after="0" w:line="240" w:lineRule="auto"/>
    </w:pPr>
    <w:tblPr>
      <w:tblStyleRowBandSize w:val="1"/>
      <w:tblStyleColBandSize w:val="1"/>
    </w:tblPr>
  </w:style>
  <w:style w:type="character" w:styleId="Hyperlink">
    <w:name w:val="Hyperlink"/>
    <w:basedOn w:val="DefaultParagraphFont"/>
    <w:uiPriority w:val="99"/>
    <w:unhideWhenUsed/>
    <w:rsid w:val="00503A5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yperlink" Target="https://wwwnc.cdc.gov/travel"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cdc.gov/vaccines/schedules/index.html" TargetMode="External"/><Relationship Id="rId12" Type="http://schemas.openxmlformats.org/officeDocument/2006/relationships/hyperlink" Target="https://www.hhs.gov/immunization/basics/safety/side-effects/index.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nc.cdc.gov/travel" TargetMode="External"/><Relationship Id="rId11" Type="http://schemas.openxmlformats.org/officeDocument/2006/relationships/hyperlink" Target="https://www.hhs.gov/immunization/basics/safety/index.html" TargetMode="External"/><Relationship Id="rId5" Type="http://schemas.openxmlformats.org/officeDocument/2006/relationships/hyperlink" Target="https://www.cdc.gov/poxvirus/monkeypox/vaccines/vaccine-basics.html" TargetMode="External"/><Relationship Id="rId10" Type="http://schemas.openxmlformats.org/officeDocument/2006/relationships/hyperlink" Target="https://www.immunize.org/catg.d/p4251.pdf" TargetMode="External"/><Relationship Id="rId4" Type="http://schemas.openxmlformats.org/officeDocument/2006/relationships/webSettings" Target="webSettings.xml"/><Relationship Id="rId9" Type="http://schemas.openxmlformats.org/officeDocument/2006/relationships/hyperlink" Target="https://www.immunize.org/catg.d/p4033.pdf"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3</Pages>
  <Words>933</Words>
  <Characters>5416</Characters>
  <Application>Microsoft Office Word</Application>
  <DocSecurity>0</DocSecurity>
  <Lines>138</Lines>
  <Paragraphs>81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Julie Ann Richards</dc:creator>
  <cp:lastModifiedBy>Sabrina Sanchez</cp:lastModifiedBy>
  <cp:revision>3</cp:revision>
  <dcterms:created xsi:type="dcterms:W3CDTF">2024-07-23T20:04:00Z</dcterms:created>
  <dcterms:modified xsi:type="dcterms:W3CDTF">2024-07-23T20:08:00Z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1778fa0693de89cd274995f8d17aac712faa6ec09d27bad5bf8b85ccdefad29c</vt:lpwstr>
  </property>
</Properties>
</file>